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insoku w:val="0"/>
        <w:overflowPunct w:val="0"/>
        <w:spacing w:before="27"/>
        <w:ind w:left="0"/>
        <w:jc w:val="center"/>
        <w:rPr>
          <w:rFonts w:ascii="宋体" w:hAnsi="宋体" w:eastAsia="宋体" w:cs="宋体"/>
          <w:color w:val="000000"/>
          <w:sz w:val="36"/>
        </w:rPr>
      </w:pPr>
      <w:r>
        <w:rPr>
          <w:rFonts w:cs="微软雅黑"/>
          <w:color w:val="000000"/>
          <w:sz w:val="28"/>
          <w:szCs w:val="8"/>
        </w:rPr>
        <w:t>项目名称：上饶幼儿师范高等专科学校维修及零星劳务服务</w:t>
      </w:r>
    </w:p>
    <w:p>
      <w:pPr>
        <w:jc w:val="center"/>
        <w:rPr>
          <w:rFonts w:cs="宋体"/>
          <w:color w:val="000000"/>
        </w:rPr>
      </w:pPr>
    </w:p>
    <w:p>
      <w:pPr>
        <w:pStyle w:val="9"/>
        <w:kinsoku w:val="0"/>
        <w:overflowPunct w:val="0"/>
        <w:rPr>
          <w:rFonts w:cs="宋体"/>
          <w:color w:val="000000"/>
          <w:sz w:val="17"/>
        </w:rPr>
      </w:pPr>
      <w:r>
        <w:rPr>
          <w:rFonts w:cs="宋体"/>
          <w:color w:val="000000"/>
          <w:sz w:val="36"/>
        </w:rPr>
        <mc:AlternateContent>
          <mc:Choice Requires="wps">
            <w:drawing>
              <wp:anchor distT="0" distB="0" distL="114300" distR="114300" simplePos="0" relativeHeight="251659264" behindDoc="0" locked="0" layoutInCell="1" allowOverlap="1">
                <wp:simplePos x="0" y="0"/>
                <wp:positionH relativeFrom="page">
                  <wp:posOffset>758825</wp:posOffset>
                </wp:positionH>
                <wp:positionV relativeFrom="paragraph">
                  <wp:posOffset>166370</wp:posOffset>
                </wp:positionV>
                <wp:extent cx="6042660" cy="699135"/>
                <wp:effectExtent l="0" t="0" r="0" b="5715"/>
                <wp:wrapTopAndBottom/>
                <wp:docPr id="1" name="文本框 2"/>
                <wp:cNvGraphicFramePr/>
                <a:graphic xmlns:a="http://schemas.openxmlformats.org/drawingml/2006/main">
                  <a:graphicData uri="http://schemas.microsoft.com/office/word/2010/wordprocessingShape">
                    <wps:wsp>
                      <wps:cNvSpPr txBox="1"/>
                      <wps:spPr>
                        <a:xfrm>
                          <a:off x="0" y="0"/>
                          <a:ext cx="6042660" cy="699135"/>
                        </a:xfrm>
                        <a:prstGeom prst="rect">
                          <a:avLst/>
                        </a:prstGeom>
                        <a:noFill/>
                        <a:ln w="6095" cap="flat" cmpd="sng">
                          <a:solidFill>
                            <a:srgbClr val="000000"/>
                          </a:solidFill>
                          <a:prstDash val="solid"/>
                          <a:miter/>
                          <a:headEnd type="none" w="med" len="med"/>
                          <a:tailEnd type="none" w="med" len="med"/>
                        </a:ln>
                      </wps:spPr>
                      <wps:txbx>
                        <w:txbxContent>
                          <w:p>
                            <w:pPr>
                              <w:pStyle w:val="9"/>
                              <w:kinsoku w:val="0"/>
                              <w:overflowPunct w:val="0"/>
                              <w:spacing w:line="480" w:lineRule="atLeast"/>
                              <w:ind w:left="103" w:right="102" w:firstLine="360"/>
                              <w:jc w:val="both"/>
                              <w:rPr>
                                <w:b/>
                                <w:bCs/>
                                <w:color w:val="000000"/>
                                <w:spacing w:val="-8"/>
                              </w:rPr>
                            </w:pPr>
                            <w:r>
                              <w:rPr>
                                <w:b/>
                                <w:bCs/>
                                <w:color w:val="000000"/>
                              </w:rPr>
                              <w:t>上饶幼儿师范高等专科学校，就其所需上饶幼儿师范高等专科学校维修及零星劳务服务实行竞价采购</w:t>
                            </w:r>
                          </w:p>
                        </w:txbxContent>
                      </wps:txbx>
                      <wps:bodyPr lIns="0" tIns="0" rIns="0" bIns="0" upright="1"/>
                    </wps:wsp>
                  </a:graphicData>
                </a:graphic>
              </wp:anchor>
            </w:drawing>
          </mc:Choice>
          <mc:Fallback>
            <w:pict>
              <v:shape id="文本框 2" o:spid="_x0000_s1026" o:spt="202" type="#_x0000_t202" style="position:absolute;left:0pt;margin-left:59.75pt;margin-top:13.1pt;height:55.05pt;width:475.8pt;mso-position-horizontal-relative:page;mso-wrap-distance-bottom:0pt;mso-wrap-distance-top:0pt;z-index:251659264;mso-width-relative:page;mso-height-relative:page;" filled="f" stroked="t" coordsize="21600,21600" o:gfxdata="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dks6NoAAAALAQAADwAAAAAA&#10;AAABACAAAAAiAAAAZHJzL2Rvd25yZXYueG1sUEsBAhQAFAAAAAgAh07iQNCCk7ARAgAAMQQAAA4A&#10;AAAAAAAAAQAgAAAAKQEAAGRycy9lMm9Eb2MueG1sUEsFBgAAAAAGAAYAWQEAAKwFAAAAAA==&#10;">
                <v:fill on="f" focussize="0,0"/>
                <v:stroke weight="0.47992125984252pt" color="#000000" joinstyle="miter"/>
                <v:imagedata o:title=""/>
                <o:lock v:ext="edit" aspectratio="f"/>
                <v:textbox inset="0mm,0mm,0mm,0mm">
                  <w:txbxContent>
                    <w:p>
                      <w:pPr>
                        <w:pStyle w:val="9"/>
                        <w:kinsoku w:val="0"/>
                        <w:overflowPunct w:val="0"/>
                        <w:spacing w:line="480" w:lineRule="atLeast"/>
                        <w:ind w:left="103" w:right="102" w:firstLine="360"/>
                        <w:jc w:val="both"/>
                        <w:rPr>
                          <w:b/>
                          <w:bCs/>
                          <w:color w:val="000000"/>
                          <w:spacing w:val="-8"/>
                        </w:rPr>
                      </w:pPr>
                      <w:r>
                        <w:rPr>
                          <w:b/>
                          <w:bCs/>
                          <w:color w:val="000000"/>
                        </w:rPr>
                        <w:t>上饶幼儿师范高等专科学校，就其所需上饶幼儿师范高等专科学校维修及零星劳务服务实行竞价采购</w:t>
                      </w:r>
                    </w:p>
                  </w:txbxContent>
                </v:textbox>
                <w10:wrap type="topAndBottom"/>
              </v:shape>
            </w:pict>
          </mc:Fallback>
        </mc:AlternateContent>
      </w:r>
    </w:p>
    <w:p>
      <w:pPr>
        <w:pStyle w:val="7"/>
        <w:kinsoku w:val="0"/>
        <w:overflowPunct w:val="0"/>
        <w:spacing w:before="120" w:beforeLines="50" w:line="360" w:lineRule="auto"/>
        <w:ind w:left="0" w:firstLine="562" w:firstLineChars="200"/>
        <w:textAlignment w:val="center"/>
        <w:rPr>
          <w:rFonts w:cs="宋体"/>
          <w:color w:val="000000"/>
          <w:sz w:val="28"/>
          <w:szCs w:val="28"/>
        </w:rPr>
      </w:pPr>
      <w:r>
        <w:rPr>
          <w:rFonts w:cs="宋体"/>
          <w:color w:val="000000"/>
          <w:sz w:val="28"/>
          <w:szCs w:val="28"/>
        </w:rPr>
        <w:t>一、项目基本情况</w:t>
      </w:r>
    </w:p>
    <w:p>
      <w:pPr>
        <w:pStyle w:val="9"/>
        <w:kinsoku w:val="0"/>
        <w:overflowPunct w:val="0"/>
        <w:spacing w:line="360" w:lineRule="auto"/>
        <w:ind w:firstLine="480" w:firstLineChars="200"/>
        <w:rPr>
          <w:rFonts w:cs="宋体"/>
          <w:color w:val="000000"/>
        </w:rPr>
      </w:pPr>
      <w:r>
        <w:rPr>
          <w:rFonts w:cs="宋体"/>
          <w:color w:val="000000"/>
        </w:rPr>
        <w:t xml:space="preserve">1、采购项目编号： </w:t>
      </w:r>
    </w:p>
    <w:p>
      <w:pPr>
        <w:pStyle w:val="9"/>
        <w:kinsoku w:val="0"/>
        <w:overflowPunct w:val="0"/>
        <w:spacing w:line="360" w:lineRule="auto"/>
        <w:ind w:firstLine="480" w:firstLineChars="200"/>
        <w:rPr>
          <w:rFonts w:cs="宋体"/>
          <w:color w:val="000000"/>
        </w:rPr>
      </w:pPr>
      <w:r>
        <w:rPr>
          <w:rFonts w:cs="宋体"/>
          <w:color w:val="000000"/>
        </w:rPr>
        <w:t>2、采购项目名称：上饶幼儿师范高等专科学校维修及零星劳务服务</w:t>
      </w:r>
    </w:p>
    <w:p>
      <w:pPr>
        <w:pStyle w:val="9"/>
        <w:kinsoku w:val="0"/>
        <w:overflowPunct w:val="0"/>
        <w:spacing w:line="360" w:lineRule="auto"/>
        <w:ind w:firstLine="480" w:firstLineChars="200"/>
        <w:rPr>
          <w:rFonts w:cs="宋体"/>
          <w:color w:val="000000"/>
        </w:rPr>
      </w:pPr>
      <w:r>
        <w:rPr>
          <w:rFonts w:cs="宋体"/>
          <w:color w:val="000000"/>
        </w:rPr>
        <w:t>3、采购项目内容：</w:t>
      </w:r>
    </w:p>
    <w:tbl>
      <w:tblPr>
        <w:tblStyle w:val="14"/>
        <w:tblW w:w="4846" w:type="pct"/>
        <w:tblInd w:w="313" w:type="dxa"/>
        <w:tblLayout w:type="autofit"/>
        <w:tblCellMar>
          <w:top w:w="0" w:type="dxa"/>
          <w:left w:w="108" w:type="dxa"/>
          <w:bottom w:w="0" w:type="dxa"/>
          <w:right w:w="108" w:type="dxa"/>
        </w:tblCellMar>
      </w:tblPr>
      <w:tblGrid>
        <w:gridCol w:w="1133"/>
        <w:gridCol w:w="3199"/>
        <w:gridCol w:w="1110"/>
        <w:gridCol w:w="865"/>
        <w:gridCol w:w="1860"/>
        <w:gridCol w:w="1860"/>
      </w:tblGrid>
      <w:tr>
        <w:tblPrEx>
          <w:tblCellMar>
            <w:top w:w="0" w:type="dxa"/>
            <w:left w:w="108" w:type="dxa"/>
            <w:bottom w:w="0" w:type="dxa"/>
            <w:right w:w="108" w:type="dxa"/>
          </w:tblCellMar>
        </w:tblPrEx>
        <w:trPr>
          <w:trHeight w:val="675" w:hRule="atLeast"/>
        </w:trPr>
        <w:tc>
          <w:tcPr>
            <w:tcW w:w="565"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jc w:val="center"/>
              <w:rPr>
                <w:rFonts w:cs="宋体"/>
                <w:color w:val="000000"/>
              </w:rPr>
            </w:pPr>
            <w:r>
              <w:rPr>
                <w:rFonts w:cs="宋体"/>
                <w:color w:val="000000"/>
              </w:rPr>
              <w:t>序号</w:t>
            </w:r>
          </w:p>
        </w:tc>
        <w:tc>
          <w:tcPr>
            <w:tcW w:w="1594"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jc w:val="center"/>
              <w:rPr>
                <w:rFonts w:cs="宋体"/>
                <w:color w:val="000000"/>
              </w:rPr>
            </w:pPr>
            <w:r>
              <w:rPr>
                <w:rFonts w:cs="宋体"/>
                <w:color w:val="000000"/>
              </w:rPr>
              <w:t>项目名称</w:t>
            </w:r>
          </w:p>
        </w:tc>
        <w:tc>
          <w:tcPr>
            <w:tcW w:w="553"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jc w:val="center"/>
              <w:rPr>
                <w:rFonts w:cs="宋体"/>
                <w:color w:val="000000"/>
              </w:rPr>
            </w:pPr>
            <w:r>
              <w:rPr>
                <w:rFonts w:cs="宋体"/>
                <w:color w:val="000000"/>
              </w:rPr>
              <w:t>数量</w:t>
            </w: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jc w:val="center"/>
              <w:rPr>
                <w:rFonts w:cs="宋体"/>
                <w:color w:val="000000"/>
              </w:rPr>
            </w:pPr>
            <w:r>
              <w:rPr>
                <w:rFonts w:cs="宋体"/>
                <w:color w:val="000000"/>
              </w:rPr>
              <w:t>单位</w:t>
            </w:r>
          </w:p>
        </w:tc>
        <w:tc>
          <w:tcPr>
            <w:tcW w:w="92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jc w:val="center"/>
              <w:rPr>
                <w:rFonts w:hint="eastAsia" w:eastAsia="宋体" w:cs="宋体"/>
                <w:b w:val="0"/>
                <w:bCs w:val="0"/>
                <w:color w:val="auto"/>
                <w:lang w:val="en-US" w:eastAsia="zh-CN"/>
              </w:rPr>
            </w:pPr>
            <w:r>
              <w:rPr>
                <w:rFonts w:hint="eastAsia" w:cs="宋体"/>
                <w:b w:val="0"/>
                <w:bCs w:val="0"/>
                <w:color w:val="auto"/>
                <w:lang w:val="en-US" w:eastAsia="zh-CN"/>
              </w:rPr>
              <w:t>最高限额折扣率</w:t>
            </w:r>
          </w:p>
        </w:tc>
        <w:tc>
          <w:tcPr>
            <w:tcW w:w="927"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jc w:val="center"/>
              <w:rPr>
                <w:rFonts w:hint="default" w:cs="宋体"/>
                <w:b w:val="0"/>
                <w:bCs w:val="0"/>
                <w:color w:val="auto"/>
                <w:lang w:val="en-US" w:eastAsia="zh-CN"/>
              </w:rPr>
            </w:pPr>
            <w:r>
              <w:rPr>
                <w:rFonts w:hint="eastAsia" w:cs="宋体"/>
                <w:b w:val="0"/>
                <w:bCs w:val="0"/>
                <w:color w:val="auto"/>
                <w:lang w:val="en-US" w:eastAsia="zh-CN"/>
              </w:rPr>
              <w:t>本次报价折扣率</w:t>
            </w:r>
          </w:p>
        </w:tc>
      </w:tr>
      <w:tr>
        <w:tblPrEx>
          <w:tblCellMar>
            <w:top w:w="0" w:type="dxa"/>
            <w:left w:w="108" w:type="dxa"/>
            <w:bottom w:w="0" w:type="dxa"/>
            <w:right w:w="108" w:type="dxa"/>
          </w:tblCellMar>
        </w:tblPrEx>
        <w:trPr>
          <w:trHeight w:val="626" w:hRule="atLeast"/>
        </w:trPr>
        <w:tc>
          <w:tcPr>
            <w:tcW w:w="565" w:type="pct"/>
            <w:tcBorders>
              <w:top w:val="single" w:color="000000" w:sz="4" w:space="0"/>
              <w:left w:val="single" w:color="000000" w:sz="4" w:space="0"/>
              <w:bottom w:val="single" w:color="000000" w:sz="4" w:space="0"/>
              <w:right w:val="single" w:color="000000" w:sz="4" w:space="0"/>
              <w:tl2br w:val="nil"/>
              <w:tr2bl w:val="nil"/>
            </w:tcBorders>
            <w:vAlign w:val="center"/>
          </w:tcPr>
          <w:p>
            <w:pPr>
              <w:pStyle w:val="26"/>
              <w:kinsoku w:val="0"/>
              <w:overflowPunct w:val="0"/>
              <w:jc w:val="center"/>
              <w:rPr>
                <w:rFonts w:cs="宋体"/>
                <w:color w:val="000000"/>
              </w:rPr>
            </w:pPr>
            <w:r>
              <w:rPr>
                <w:rFonts w:cs="宋体"/>
                <w:color w:val="000000"/>
              </w:rPr>
              <w:t>1</w:t>
            </w:r>
          </w:p>
        </w:tc>
        <w:tc>
          <w:tcPr>
            <w:tcW w:w="1594"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cs="宋体"/>
                <w:color w:val="000000"/>
                <w:sz w:val="24"/>
              </w:rPr>
            </w:pPr>
            <w:r>
              <w:rPr>
                <w:rFonts w:cs="宋体"/>
                <w:color w:val="000000"/>
                <w:sz w:val="24"/>
              </w:rPr>
              <w:t>上饶幼儿师范高等专科学校维修及零星劳务服务</w:t>
            </w:r>
          </w:p>
        </w:tc>
        <w:tc>
          <w:tcPr>
            <w:tcW w:w="553"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default" w:eastAsia="宋体" w:cs="宋体"/>
                <w:color w:val="000000"/>
                <w:sz w:val="24"/>
                <w:lang w:val="en-US" w:eastAsia="zh-CN"/>
              </w:rPr>
            </w:pPr>
            <w:r>
              <w:rPr>
                <w:rFonts w:hint="eastAsia" w:cs="宋体"/>
                <w:color w:val="000000"/>
                <w:sz w:val="24"/>
                <w:lang w:val="en-US" w:eastAsia="zh-CN"/>
              </w:rPr>
              <w:t>2</w:t>
            </w:r>
          </w:p>
        </w:tc>
        <w:tc>
          <w:tcPr>
            <w:tcW w:w="43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cs="宋体"/>
                <w:color w:val="000000"/>
                <w:sz w:val="24"/>
              </w:rPr>
            </w:pPr>
            <w:r>
              <w:rPr>
                <w:rFonts w:cs="宋体"/>
                <w:color w:val="000000"/>
                <w:sz w:val="24"/>
              </w:rPr>
              <w:t>年</w:t>
            </w:r>
          </w:p>
        </w:tc>
        <w:tc>
          <w:tcPr>
            <w:tcW w:w="92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default" w:eastAsia="宋体" w:cs="宋体"/>
                <w:b w:val="0"/>
                <w:bCs w:val="0"/>
                <w:color w:val="auto"/>
                <w:sz w:val="24"/>
                <w:lang w:val="en-US" w:eastAsia="zh-CN"/>
              </w:rPr>
            </w:pPr>
            <w:r>
              <w:rPr>
                <w:rFonts w:hint="eastAsia" w:cs="宋体"/>
                <w:b w:val="0"/>
                <w:bCs w:val="0"/>
                <w:color w:val="auto"/>
                <w:sz w:val="24"/>
                <w:lang w:val="en-US" w:eastAsia="zh-CN"/>
              </w:rPr>
              <w:t>1</w:t>
            </w:r>
          </w:p>
        </w:tc>
        <w:tc>
          <w:tcPr>
            <w:tcW w:w="92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default" w:cs="宋体"/>
                <w:b w:val="0"/>
                <w:bCs w:val="0"/>
                <w:color w:val="auto"/>
                <w:sz w:val="24"/>
                <w:lang w:val="en-US" w:eastAsia="zh-CN"/>
              </w:rPr>
            </w:pPr>
            <w:r>
              <w:rPr>
                <w:rFonts w:hint="eastAsia" w:cs="宋体"/>
                <w:b w:val="0"/>
                <w:bCs w:val="0"/>
                <w:color w:val="auto"/>
                <w:sz w:val="24"/>
                <w:lang w:val="en-US" w:eastAsia="zh-CN"/>
              </w:rPr>
              <w:t>（商家填写）</w:t>
            </w:r>
          </w:p>
        </w:tc>
      </w:tr>
    </w:tbl>
    <w:p>
      <w:pPr>
        <w:pStyle w:val="9"/>
        <w:keepNext w:val="0"/>
        <w:keepLines w:val="0"/>
        <w:pageBreakBefore w:val="0"/>
        <w:widowControl w:val="0"/>
        <w:kinsoku w:val="0"/>
        <w:wordWrap/>
        <w:overflowPunct w:val="0"/>
        <w:topLinePunct w:val="0"/>
        <w:autoSpaceDE w:val="0"/>
        <w:autoSpaceDN w:val="0"/>
        <w:bidi w:val="0"/>
        <w:adjustRightInd w:val="0"/>
        <w:snapToGrid/>
        <w:spacing w:before="0" w:beforeLines="50" w:line="360" w:lineRule="auto"/>
        <w:ind w:firstLine="480" w:firstLineChars="200"/>
        <w:textAlignment w:val="auto"/>
        <w:rPr>
          <w:rFonts w:cs="宋体"/>
          <w:color w:val="000000"/>
        </w:rPr>
      </w:pPr>
      <w:r>
        <w:rPr>
          <w:rFonts w:cs="宋体"/>
          <w:color w:val="000000"/>
        </w:rPr>
        <w:t>4、合同履行期限：</w:t>
      </w:r>
      <w:r>
        <w:rPr>
          <w:rFonts w:hint="eastAsia" w:cs="宋体"/>
          <w:color w:val="000000"/>
          <w:lang w:val="en-US" w:eastAsia="zh-CN"/>
        </w:rPr>
        <w:t>两</w:t>
      </w:r>
      <w:r>
        <w:rPr>
          <w:rFonts w:hint="eastAsia" w:cs="宋体"/>
          <w:color w:val="000000"/>
        </w:rPr>
        <w:t>年。</w:t>
      </w:r>
    </w:p>
    <w:p>
      <w:pPr>
        <w:pStyle w:val="9"/>
        <w:kinsoku w:val="0"/>
        <w:overflowPunct w:val="0"/>
        <w:spacing w:line="360" w:lineRule="auto"/>
        <w:ind w:firstLine="480" w:firstLineChars="200"/>
        <w:rPr>
          <w:rFonts w:hint="default" w:cs="宋体"/>
          <w:color w:val="000000"/>
        </w:rPr>
      </w:pPr>
      <w:r>
        <w:rPr>
          <w:rFonts w:cs="宋体"/>
          <w:color w:val="000000"/>
        </w:rPr>
        <w:t>5、本项目不接受联合体投标。</w:t>
      </w:r>
    </w:p>
    <w:p>
      <w:pPr>
        <w:pStyle w:val="9"/>
        <w:kinsoku w:val="0"/>
        <w:overflowPunct w:val="0"/>
        <w:spacing w:line="360" w:lineRule="auto"/>
        <w:ind w:firstLine="480" w:firstLineChars="200"/>
        <w:rPr>
          <w:rFonts w:cs="宋体"/>
          <w:color w:val="000000"/>
        </w:rPr>
      </w:pPr>
      <w:r>
        <w:rPr>
          <w:rFonts w:cs="宋体"/>
          <w:b w:val="0"/>
          <w:bCs w:val="0"/>
          <w:color w:val="auto"/>
        </w:rPr>
        <w:t>6、本项目采用竞价采购方式，投标人对附件（零星维修认价单）中的预算按折扣率方式报价</w:t>
      </w:r>
      <w:r>
        <w:rPr>
          <w:rFonts w:cs="宋体"/>
          <w:color w:val="000000"/>
        </w:rPr>
        <w:t>，折扣率最低的前三名入围维修及零星劳务服务商，排名第一的为常驻服务商，具体要求可见招标文件“采购需求”部分。</w:t>
      </w:r>
    </w:p>
    <w:p>
      <w:pPr>
        <w:pStyle w:val="7"/>
        <w:kinsoku w:val="0"/>
        <w:overflowPunct w:val="0"/>
        <w:spacing w:line="360" w:lineRule="auto"/>
        <w:ind w:left="0" w:firstLine="562" w:firstLineChars="200"/>
        <w:textAlignment w:val="center"/>
        <w:rPr>
          <w:rFonts w:cs="宋体"/>
          <w:color w:val="000000"/>
          <w:sz w:val="28"/>
          <w:szCs w:val="28"/>
        </w:rPr>
      </w:pPr>
      <w:r>
        <w:rPr>
          <w:rFonts w:cs="宋体"/>
          <w:color w:val="000000"/>
          <w:sz w:val="28"/>
          <w:szCs w:val="28"/>
        </w:rPr>
        <w:t>二、申请人的资格要求</w:t>
      </w:r>
    </w:p>
    <w:p>
      <w:pPr>
        <w:pStyle w:val="9"/>
        <w:kinsoku w:val="0"/>
        <w:overflowPunct w:val="0"/>
        <w:spacing w:line="360" w:lineRule="auto"/>
        <w:ind w:firstLine="480" w:firstLineChars="200"/>
        <w:rPr>
          <w:rFonts w:cs="宋体"/>
          <w:color w:val="000000"/>
        </w:rPr>
      </w:pPr>
      <w:r>
        <w:rPr>
          <w:rFonts w:cs="宋体"/>
          <w:color w:val="000000"/>
        </w:rPr>
        <w:t>（一）符合《中华人民共和国政府采购法》第二十二条规定的条件，提供下列材料：</w:t>
      </w:r>
    </w:p>
    <w:p>
      <w:pPr>
        <w:pStyle w:val="9"/>
        <w:kinsoku w:val="0"/>
        <w:overflowPunct w:val="0"/>
        <w:spacing w:line="360" w:lineRule="auto"/>
        <w:ind w:firstLine="480" w:firstLineChars="200"/>
        <w:rPr>
          <w:rFonts w:cs="宋体"/>
          <w:color w:val="000000"/>
        </w:rPr>
      </w:pPr>
      <w:r>
        <w:rPr>
          <w:rFonts w:cs="宋体"/>
          <w:color w:val="000000"/>
        </w:rPr>
        <w:t>1、投标人具有独立承担民事责任的能力：提供营业执照复印件、法人授权委托书原件（法人投标无须提供）及投标代理人身份证原件；</w:t>
      </w:r>
    </w:p>
    <w:p>
      <w:pPr>
        <w:pStyle w:val="9"/>
        <w:kinsoku w:val="0"/>
        <w:overflowPunct w:val="0"/>
        <w:spacing w:line="360" w:lineRule="auto"/>
        <w:ind w:firstLine="480" w:firstLineChars="200"/>
        <w:rPr>
          <w:rFonts w:cs="宋体"/>
          <w:color w:val="000000"/>
        </w:rPr>
      </w:pPr>
      <w:r>
        <w:rPr>
          <w:rFonts w:cs="宋体"/>
          <w:color w:val="000000"/>
        </w:rPr>
        <w:t>2、应具有良好的商业信誉和健全的财务会计制度：提供2022年度或2023年度财务审计报告，或者投标截止时间前三个月内开户银行出具的资信证明。</w:t>
      </w:r>
    </w:p>
    <w:p>
      <w:pPr>
        <w:pStyle w:val="9"/>
        <w:kinsoku w:val="0"/>
        <w:overflowPunct w:val="0"/>
        <w:spacing w:line="360" w:lineRule="auto"/>
        <w:ind w:firstLine="480" w:firstLineChars="200"/>
        <w:rPr>
          <w:rFonts w:cs="宋体"/>
          <w:color w:val="000000"/>
        </w:rPr>
      </w:pPr>
      <w:r>
        <w:rPr>
          <w:rFonts w:cs="宋体"/>
          <w:color w:val="000000"/>
        </w:rPr>
        <w:t>3、提供开标前近六个月中任意一个月的依法缴纳税收的证明复印件（纳税发票、银行纳税转帐凭证、税务局出具的纳税证明，提供任一种均可）。</w:t>
      </w:r>
    </w:p>
    <w:p>
      <w:pPr>
        <w:pStyle w:val="9"/>
        <w:kinsoku w:val="0"/>
        <w:overflowPunct w:val="0"/>
        <w:spacing w:line="360" w:lineRule="auto"/>
        <w:ind w:firstLine="480" w:firstLineChars="200"/>
        <w:rPr>
          <w:rFonts w:cs="宋体"/>
          <w:color w:val="000000"/>
        </w:rPr>
      </w:pPr>
      <w:r>
        <w:rPr>
          <w:rFonts w:cs="宋体"/>
          <w:color w:val="000000"/>
        </w:rPr>
        <w:t>4、参加本次采购活动前三年内，在经营活动中没有重大违法行为；（提供投标人的自我书面声明）。</w:t>
      </w:r>
    </w:p>
    <w:p>
      <w:pPr>
        <w:pStyle w:val="9"/>
        <w:kinsoku w:val="0"/>
        <w:overflowPunct w:val="0"/>
        <w:spacing w:line="360" w:lineRule="auto"/>
        <w:ind w:firstLine="480" w:firstLineChars="200"/>
        <w:rPr>
          <w:rFonts w:cs="宋体"/>
          <w:color w:val="000000"/>
        </w:rPr>
      </w:pPr>
      <w:r>
        <w:rPr>
          <w:rFonts w:cs="宋体"/>
          <w:color w:val="000000"/>
        </w:rPr>
        <w:t>5、提供开标前近六个月中任意一个月的缴纳社保的证明复印件（社保缴纳发票、交纳社保的银行转帐凭证、社保局出具的正常缴纳社保证明，提供任一种均可）。</w:t>
      </w:r>
    </w:p>
    <w:p>
      <w:pPr>
        <w:pStyle w:val="9"/>
        <w:kinsoku w:val="0"/>
        <w:overflowPunct w:val="0"/>
        <w:spacing w:line="360" w:lineRule="auto"/>
        <w:ind w:firstLine="480" w:firstLineChars="200"/>
        <w:rPr>
          <w:rFonts w:cs="宋体"/>
          <w:color w:val="000000"/>
        </w:rPr>
      </w:pPr>
      <w:r>
        <w:rPr>
          <w:rFonts w:cs="宋体"/>
          <w:color w:val="000000"/>
        </w:rPr>
        <w:t>6、具备履行合同所必需的设备和专业技术能力（提供投标人的自我承诺函）。</w:t>
      </w:r>
    </w:p>
    <w:p>
      <w:pPr>
        <w:pStyle w:val="9"/>
        <w:kinsoku w:val="0"/>
        <w:overflowPunct w:val="0"/>
        <w:spacing w:line="360" w:lineRule="auto"/>
        <w:ind w:firstLine="480" w:firstLineChars="200"/>
        <w:rPr>
          <w:rFonts w:cs="宋体"/>
          <w:color w:val="000000"/>
        </w:rPr>
      </w:pPr>
      <w:r>
        <w:rPr>
          <w:rFonts w:cs="宋体"/>
          <w:color w:val="000000"/>
        </w:rPr>
        <w:t>7、根据《财政部关于在政府采购活动中查询及使用信用记录有关问题的通知》（财库[2016]125 号），不良信用记录指：投标人在“信用中国”网站（</w:t>
      </w:r>
      <w:r>
        <w:fldChar w:fldCharType="begin"/>
      </w:r>
      <w:r>
        <w:instrText xml:space="preserve"> HYPERLINK "http://www.creditchina.gov.cn/" </w:instrText>
      </w:r>
      <w:r>
        <w:fldChar w:fldCharType="separate"/>
      </w:r>
      <w:r>
        <w:rPr>
          <w:rFonts w:cs="宋体"/>
          <w:color w:val="000000"/>
        </w:rPr>
        <w:t>www.creditchina.gov.cn</w:t>
      </w:r>
      <w:r>
        <w:rPr>
          <w:rFonts w:cs="宋体"/>
          <w:color w:val="000000"/>
        </w:rPr>
        <w:fldChar w:fldCharType="end"/>
      </w:r>
      <w:r>
        <w:rPr>
          <w:rFonts w:cs="宋体"/>
          <w:color w:val="000000"/>
        </w:rPr>
        <w:t>） 被列入失信被执行人和重大税收违法案件当事人名单或在中国政府采购网</w:t>
      </w:r>
      <w:r>
        <w:fldChar w:fldCharType="begin"/>
      </w:r>
      <w:r>
        <w:instrText xml:space="preserve"> HYPERLINK "http://www.ccgp.gov.cn/" </w:instrText>
      </w:r>
      <w:r>
        <w:fldChar w:fldCharType="separate"/>
      </w:r>
      <w:r>
        <w:rPr>
          <w:rFonts w:cs="宋体"/>
          <w:color w:val="000000"/>
        </w:rPr>
        <w:t>（www.ccgp.gov.cn</w:t>
      </w:r>
      <w:r>
        <w:rPr>
          <w:rFonts w:cs="宋体"/>
          <w:color w:val="000000"/>
        </w:rPr>
        <w:fldChar w:fldCharType="end"/>
      </w:r>
      <w:r>
        <w:rPr>
          <w:rFonts w:cs="宋体"/>
          <w:color w:val="000000"/>
        </w:rPr>
        <w:t>）被列入政府采购严重违法失信行为记录名单。</w:t>
      </w:r>
    </w:p>
    <w:p>
      <w:pPr>
        <w:pStyle w:val="9"/>
        <w:kinsoku w:val="0"/>
        <w:overflowPunct w:val="0"/>
        <w:spacing w:line="360" w:lineRule="auto"/>
        <w:ind w:firstLine="480" w:firstLineChars="200"/>
        <w:rPr>
          <w:rFonts w:cs="宋体"/>
          <w:color w:val="000000"/>
        </w:rPr>
      </w:pPr>
      <w:r>
        <w:rPr>
          <w:rFonts w:hint="eastAsia" w:cs="宋体"/>
          <w:color w:val="000000"/>
          <w:lang w:val="en-US" w:eastAsia="zh-CN"/>
        </w:rPr>
        <w:t>8、</w:t>
      </w:r>
      <w:r>
        <w:rPr>
          <w:rFonts w:cs="宋体"/>
          <w:color w:val="000000"/>
        </w:rPr>
        <w:t>必须具有本项目专业资质及施工要求：具有住建部门颁发的施工劳务资质或营业执照经营范围包含建筑劳务范围。</w:t>
      </w:r>
    </w:p>
    <w:p>
      <w:pPr>
        <w:pStyle w:val="9"/>
        <w:kinsoku w:val="0"/>
        <w:overflowPunct w:val="0"/>
        <w:spacing w:line="360" w:lineRule="auto"/>
        <w:ind w:firstLine="480" w:firstLineChars="200"/>
        <w:rPr>
          <w:rFonts w:cs="宋体"/>
          <w:color w:val="000000"/>
        </w:rPr>
      </w:pPr>
      <w:r>
        <w:rPr>
          <w:rFonts w:cs="宋体"/>
          <w:color w:val="000000"/>
        </w:rPr>
        <w:t>9、投标人提供2021年1月1日至投标截止日前至少有一份具有类似劳务项目业绩。投标人提供合同复印件加盖公章。服务响应时间在接到采购方通知后两小时内管理人员到场的基础上，承诺一小时内达到现场，提供承诺函加盖公章。</w:t>
      </w:r>
    </w:p>
    <w:p>
      <w:pPr>
        <w:pStyle w:val="9"/>
        <w:kinsoku w:val="0"/>
        <w:overflowPunct w:val="0"/>
        <w:spacing w:line="360" w:lineRule="auto"/>
        <w:ind w:firstLine="480" w:firstLineChars="200"/>
        <w:rPr>
          <w:rFonts w:hint="default" w:cs="宋体"/>
          <w:color w:val="000000"/>
        </w:rPr>
      </w:pPr>
      <w:r>
        <w:rPr>
          <w:rFonts w:cs="宋体"/>
          <w:color w:val="000000"/>
        </w:rPr>
        <w:t>10、投标人在项目所在地设有固定办公地点，并正常运营，投标时提供经营场所的房产证明或租凭合同</w:t>
      </w:r>
      <w:r>
        <w:rPr>
          <w:rFonts w:hint="eastAsia" w:cs="宋体"/>
          <w:color w:val="000000"/>
          <w:lang w:val="en-US" w:eastAsia="zh-CN"/>
        </w:rPr>
        <w:t>及出租人房产证明</w:t>
      </w:r>
      <w:r>
        <w:rPr>
          <w:rFonts w:cs="宋体"/>
          <w:color w:val="000000"/>
        </w:rPr>
        <w:t>复印件加盖公章</w:t>
      </w:r>
      <w:r>
        <w:rPr>
          <w:rFonts w:hint="eastAsia" w:cs="宋体"/>
          <w:color w:val="000000"/>
          <w:lang w:eastAsia="zh-CN"/>
        </w:rPr>
        <w:t>，</w:t>
      </w:r>
      <w:r>
        <w:rPr>
          <w:rFonts w:cs="宋体"/>
          <w:color w:val="000000"/>
        </w:rPr>
        <w:t>开标后结果公示前，采购人有权对预中标人的经营场所与其提供的资料进行核实。</w:t>
      </w:r>
    </w:p>
    <w:p>
      <w:pPr>
        <w:tabs>
          <w:tab w:val="left" w:pos="2325"/>
        </w:tabs>
        <w:spacing w:line="360" w:lineRule="auto"/>
        <w:ind w:firstLine="442" w:firstLineChars="200"/>
        <w:rPr>
          <w:rFonts w:hint="default"/>
          <w:b/>
          <w:bCs/>
          <w:color w:val="000000"/>
        </w:rPr>
      </w:pPr>
      <w:r>
        <w:rPr>
          <w:b/>
          <w:bCs/>
          <w:color w:val="000000"/>
        </w:rPr>
        <w:t>注：上述材料以附件形式提交，并在签订合同前提供原件核查，一旦发现投标人提供虚假材料的，取消中标资格，列入学校不良行为记录名单，同时提交监管部门处理。</w:t>
      </w:r>
    </w:p>
    <w:p>
      <w:pPr>
        <w:tabs>
          <w:tab w:val="left" w:pos="2325"/>
        </w:tabs>
        <w:spacing w:line="360" w:lineRule="auto"/>
        <w:ind w:firstLine="442" w:firstLineChars="200"/>
        <w:rPr>
          <w:b/>
          <w:bCs/>
          <w:color w:val="000000"/>
        </w:rPr>
      </w:pPr>
      <w:r>
        <w:rPr>
          <w:b/>
          <w:bCs/>
          <w:color w:val="000000"/>
        </w:rPr>
        <w:t>中标候选人因提供虚假材料或拒不签订合同时，招标人可以根据实际情况选择向下一顺位中标候选人发出中标通知书。</w:t>
      </w:r>
    </w:p>
    <w:p>
      <w:pPr>
        <w:pStyle w:val="9"/>
        <w:kinsoku w:val="0"/>
        <w:overflowPunct w:val="0"/>
        <w:spacing w:line="360" w:lineRule="auto"/>
        <w:ind w:firstLine="480" w:firstLineChars="200"/>
        <w:rPr>
          <w:rFonts w:cs="宋体"/>
          <w:color w:val="000000"/>
        </w:rPr>
      </w:pPr>
      <w:r>
        <w:rPr>
          <w:rFonts w:cs="宋体"/>
          <w:color w:val="000000"/>
        </w:rPr>
        <w:t>（二）本项目的特定资格要求：</w:t>
      </w:r>
    </w:p>
    <w:p>
      <w:pPr>
        <w:pStyle w:val="9"/>
        <w:kinsoku w:val="0"/>
        <w:overflowPunct w:val="0"/>
        <w:spacing w:line="360" w:lineRule="auto"/>
        <w:ind w:firstLine="480" w:firstLineChars="200"/>
        <w:rPr>
          <w:rFonts w:cs="宋体"/>
          <w:color w:val="000000"/>
        </w:rPr>
      </w:pPr>
      <w:r>
        <w:rPr>
          <w:rFonts w:cs="宋体"/>
          <w:color w:val="000000"/>
        </w:rPr>
        <w:t>1、不得委托本校教职工进行投标。</w:t>
      </w:r>
    </w:p>
    <w:p>
      <w:pPr>
        <w:pStyle w:val="9"/>
        <w:kinsoku w:val="0"/>
        <w:overflowPunct w:val="0"/>
        <w:spacing w:line="360" w:lineRule="auto"/>
        <w:ind w:firstLine="480" w:firstLineChars="200"/>
        <w:rPr>
          <w:rFonts w:cs="宋体"/>
          <w:color w:val="000000"/>
        </w:rPr>
      </w:pPr>
      <w:r>
        <w:rPr>
          <w:rFonts w:cs="宋体"/>
          <w:color w:val="000000"/>
        </w:rPr>
        <w:t>2、本项目不接受联合体投标，不允许转包、分包。</w:t>
      </w:r>
    </w:p>
    <w:p>
      <w:pPr>
        <w:pStyle w:val="9"/>
        <w:kinsoku w:val="0"/>
        <w:overflowPunct w:val="0"/>
        <w:spacing w:line="360" w:lineRule="auto"/>
        <w:ind w:firstLine="562" w:firstLineChars="200"/>
        <w:rPr>
          <w:rFonts w:hint="eastAsia" w:cs="宋体"/>
          <w:color w:val="auto"/>
        </w:rPr>
      </w:pPr>
      <w:r>
        <w:rPr>
          <w:rFonts w:hint="eastAsia" w:ascii="宋体" w:hAnsi="宋体" w:eastAsia="宋体" w:cs="宋体"/>
          <w:b/>
          <w:color w:val="auto"/>
          <w:sz w:val="28"/>
          <w:szCs w:val="28"/>
          <w:lang w:val="en-US" w:eastAsia="zh-CN" w:bidi="ar-SA"/>
        </w:rPr>
        <w:t>三、投标文件的递交相关事宜：</w:t>
      </w:r>
    </w:p>
    <w:p>
      <w:pPr>
        <w:pStyle w:val="9"/>
        <w:kinsoku w:val="0"/>
        <w:overflowPunct w:val="0"/>
        <w:spacing w:line="360" w:lineRule="auto"/>
        <w:ind w:firstLine="480" w:firstLineChars="200"/>
        <w:rPr>
          <w:rFonts w:hint="default" w:eastAsia="宋体" w:cs="宋体"/>
          <w:color w:val="auto"/>
          <w:lang w:val="en-US" w:eastAsia="zh-CN"/>
        </w:rPr>
      </w:pPr>
      <w:r>
        <w:rPr>
          <w:rFonts w:hint="eastAsia" w:cs="宋体"/>
          <w:color w:val="auto"/>
        </w:rPr>
        <w:t>1</w:t>
      </w:r>
      <w:r>
        <w:rPr>
          <w:rFonts w:cs="宋体"/>
          <w:color w:val="auto"/>
        </w:rPr>
        <w:t>、</w:t>
      </w:r>
      <w:r>
        <w:rPr>
          <w:rFonts w:hint="eastAsia" w:cs="宋体"/>
          <w:color w:val="auto"/>
        </w:rPr>
        <w:t>投标文件接收开始时间：202</w:t>
      </w:r>
      <w:r>
        <w:rPr>
          <w:rFonts w:hint="eastAsia" w:cs="宋体"/>
          <w:color w:val="auto"/>
          <w:lang w:val="en-US" w:eastAsia="zh-CN"/>
        </w:rPr>
        <w:t>4</w:t>
      </w:r>
      <w:bookmarkStart w:id="0" w:name="_GoBack"/>
      <w:bookmarkEnd w:id="0"/>
      <w:r>
        <w:rPr>
          <w:rFonts w:hint="eastAsia" w:cs="宋体"/>
          <w:color w:val="auto"/>
        </w:rPr>
        <w:t>年</w:t>
      </w:r>
      <w:r>
        <w:rPr>
          <w:rFonts w:hint="eastAsia" w:cs="宋体"/>
          <w:color w:val="auto"/>
          <w:lang w:val="en-US" w:eastAsia="zh-CN"/>
        </w:rPr>
        <w:t>11</w:t>
      </w:r>
      <w:r>
        <w:rPr>
          <w:rFonts w:hint="eastAsia" w:cs="宋体"/>
          <w:color w:val="auto"/>
        </w:rPr>
        <w:t>月</w:t>
      </w:r>
      <w:r>
        <w:rPr>
          <w:rFonts w:hint="eastAsia" w:cs="宋体"/>
          <w:color w:val="auto"/>
          <w:lang w:val="en-US" w:eastAsia="zh-CN"/>
        </w:rPr>
        <w:t>26</w:t>
      </w:r>
      <w:r>
        <w:rPr>
          <w:rFonts w:hint="eastAsia" w:cs="宋体"/>
          <w:color w:val="auto"/>
        </w:rPr>
        <w:t>日</w:t>
      </w:r>
      <w:r>
        <w:rPr>
          <w:rFonts w:hint="eastAsia" w:cs="宋体"/>
          <w:color w:val="auto"/>
          <w:lang w:val="en-US" w:eastAsia="zh-CN"/>
        </w:rPr>
        <w:t>13:00（北京时间）</w:t>
      </w:r>
    </w:p>
    <w:p>
      <w:pPr>
        <w:pStyle w:val="9"/>
        <w:kinsoku w:val="0"/>
        <w:overflowPunct w:val="0"/>
        <w:spacing w:line="360" w:lineRule="auto"/>
        <w:ind w:firstLine="480" w:firstLineChars="200"/>
        <w:rPr>
          <w:rFonts w:hint="default" w:eastAsia="宋体" w:cs="宋体"/>
          <w:color w:val="auto"/>
          <w:lang w:val="en-US" w:eastAsia="zh-CN"/>
        </w:rPr>
      </w:pPr>
      <w:r>
        <w:rPr>
          <w:rFonts w:hint="eastAsia" w:cs="宋体"/>
          <w:color w:val="auto"/>
        </w:rPr>
        <w:t>2</w:t>
      </w:r>
      <w:r>
        <w:rPr>
          <w:rFonts w:cs="宋体"/>
          <w:color w:val="auto"/>
        </w:rPr>
        <w:t>、</w:t>
      </w:r>
      <w:r>
        <w:rPr>
          <w:rFonts w:hint="eastAsia" w:cs="宋体"/>
          <w:color w:val="auto"/>
        </w:rPr>
        <w:t>投标文件接收截止时间：202</w:t>
      </w:r>
      <w:r>
        <w:rPr>
          <w:rFonts w:hint="eastAsia" w:cs="宋体"/>
          <w:color w:val="auto"/>
          <w:lang w:val="en-US" w:eastAsia="zh-CN"/>
        </w:rPr>
        <w:t>4</w:t>
      </w:r>
      <w:r>
        <w:rPr>
          <w:rFonts w:hint="eastAsia" w:cs="宋体"/>
          <w:color w:val="auto"/>
        </w:rPr>
        <w:t>年</w:t>
      </w:r>
      <w:r>
        <w:rPr>
          <w:rFonts w:hint="eastAsia" w:cs="宋体"/>
          <w:color w:val="auto"/>
          <w:lang w:val="en-US" w:eastAsia="zh-CN"/>
        </w:rPr>
        <w:t>11</w:t>
      </w:r>
      <w:r>
        <w:rPr>
          <w:rFonts w:hint="eastAsia" w:cs="宋体"/>
          <w:color w:val="auto"/>
        </w:rPr>
        <w:t>月</w:t>
      </w:r>
      <w:r>
        <w:rPr>
          <w:rFonts w:hint="eastAsia" w:cs="宋体"/>
          <w:color w:val="auto"/>
          <w:lang w:val="en-US" w:eastAsia="zh-CN"/>
        </w:rPr>
        <w:t>26</w:t>
      </w:r>
      <w:r>
        <w:rPr>
          <w:rFonts w:hint="eastAsia" w:cs="宋体"/>
          <w:color w:val="auto"/>
        </w:rPr>
        <w:t>日</w:t>
      </w:r>
      <w:r>
        <w:rPr>
          <w:rFonts w:hint="eastAsia" w:cs="宋体"/>
          <w:color w:val="auto"/>
          <w:lang w:val="en-US" w:eastAsia="zh-CN"/>
        </w:rPr>
        <w:t>14:00（北京时间）</w:t>
      </w:r>
    </w:p>
    <w:p>
      <w:pPr>
        <w:pStyle w:val="9"/>
        <w:kinsoku w:val="0"/>
        <w:overflowPunct w:val="0"/>
        <w:spacing w:line="360" w:lineRule="auto"/>
        <w:ind w:firstLine="480" w:firstLineChars="200"/>
        <w:rPr>
          <w:rFonts w:hint="eastAsia" w:cs="宋体"/>
          <w:color w:val="auto"/>
        </w:rPr>
      </w:pPr>
      <w:r>
        <w:rPr>
          <w:rFonts w:hint="eastAsia" w:cs="宋体"/>
          <w:color w:val="auto"/>
        </w:rPr>
        <w:t>3</w:t>
      </w:r>
      <w:r>
        <w:rPr>
          <w:rFonts w:cs="宋体"/>
          <w:color w:val="auto"/>
        </w:rPr>
        <w:t>、</w:t>
      </w:r>
      <w:r>
        <w:rPr>
          <w:rFonts w:hint="eastAsia" w:cs="宋体"/>
          <w:color w:val="auto"/>
        </w:rPr>
        <w:t>投标文件接收地点：</w:t>
      </w:r>
      <w:r>
        <w:rPr>
          <w:rFonts w:hint="eastAsia" w:cs="宋体"/>
          <w:color w:val="auto"/>
          <w:lang w:val="en-US" w:eastAsia="zh-CN"/>
        </w:rPr>
        <w:t>投标文件一式三份送至</w:t>
      </w:r>
      <w:r>
        <w:rPr>
          <w:rFonts w:hint="eastAsia" w:cs="宋体"/>
          <w:color w:val="auto"/>
        </w:rPr>
        <w:t>上饶幼儿师范高等专科学校</w:t>
      </w:r>
      <w:r>
        <w:rPr>
          <w:rFonts w:hint="eastAsia" w:cs="宋体"/>
          <w:color w:val="auto"/>
          <w:lang w:val="en-US" w:eastAsia="zh-CN"/>
        </w:rPr>
        <w:t>行政楼413</w:t>
      </w:r>
      <w:r>
        <w:rPr>
          <w:rFonts w:hint="eastAsia" w:cs="宋体"/>
          <w:color w:val="auto"/>
        </w:rPr>
        <w:t xml:space="preserve">    </w:t>
      </w:r>
    </w:p>
    <w:p>
      <w:pPr>
        <w:pStyle w:val="9"/>
        <w:kinsoku w:val="0"/>
        <w:overflowPunct w:val="0"/>
        <w:spacing w:line="360" w:lineRule="auto"/>
        <w:ind w:firstLine="480" w:firstLineChars="200"/>
        <w:rPr>
          <w:rFonts w:cs="宋体"/>
          <w:color w:val="auto"/>
        </w:rPr>
      </w:pPr>
      <w:r>
        <w:rPr>
          <w:rFonts w:hint="eastAsia" w:cs="宋体"/>
          <w:color w:val="auto"/>
        </w:rPr>
        <w:t>4</w:t>
      </w:r>
      <w:r>
        <w:rPr>
          <w:rFonts w:cs="宋体"/>
          <w:color w:val="auto"/>
        </w:rPr>
        <w:t>、</w:t>
      </w:r>
      <w:r>
        <w:rPr>
          <w:rFonts w:hint="eastAsia" w:cs="宋体"/>
          <w:color w:val="auto"/>
        </w:rPr>
        <w:t>逾期送达的、未送达指定地点的投标文件，招标人将予以拒收。</w:t>
      </w:r>
    </w:p>
    <w:p>
      <w:pPr>
        <w:pStyle w:val="9"/>
        <w:kinsoku w:val="0"/>
        <w:overflowPunct w:val="0"/>
        <w:spacing w:line="360" w:lineRule="auto"/>
        <w:ind w:firstLine="480" w:firstLineChars="200"/>
        <w:rPr>
          <w:rFonts w:hint="default" w:cs="宋体"/>
          <w:color w:val="auto"/>
          <w:lang w:val="en-US" w:eastAsia="zh-CN"/>
        </w:rPr>
      </w:pPr>
      <w:r>
        <w:rPr>
          <w:rFonts w:hint="eastAsia" w:cs="宋体"/>
          <w:color w:val="auto"/>
          <w:lang w:val="en-US" w:eastAsia="zh-CN"/>
        </w:rPr>
        <w:t>5、联系人及联系方式：曹老师 18770344205</w:t>
      </w:r>
    </w:p>
    <w:p>
      <w:pPr>
        <w:pStyle w:val="7"/>
        <w:kinsoku w:val="0"/>
        <w:overflowPunct w:val="0"/>
        <w:spacing w:line="360" w:lineRule="auto"/>
        <w:ind w:left="0" w:firstLine="562" w:firstLineChars="200"/>
        <w:textAlignment w:val="center"/>
        <w:rPr>
          <w:rFonts w:cs="宋体"/>
          <w:color w:val="000000"/>
          <w:sz w:val="28"/>
          <w:szCs w:val="28"/>
        </w:rPr>
      </w:pPr>
      <w:r>
        <w:rPr>
          <w:rFonts w:hint="eastAsia" w:cs="宋体"/>
          <w:color w:val="000000"/>
          <w:sz w:val="28"/>
          <w:szCs w:val="28"/>
          <w:lang w:val="en-US" w:eastAsia="zh-CN"/>
        </w:rPr>
        <w:t>四</w:t>
      </w:r>
      <w:r>
        <w:rPr>
          <w:rFonts w:cs="宋体"/>
          <w:color w:val="000000"/>
          <w:sz w:val="28"/>
          <w:szCs w:val="28"/>
        </w:rPr>
        <w:t>、采购需求、商务需求</w:t>
      </w:r>
    </w:p>
    <w:p>
      <w:pPr>
        <w:pStyle w:val="9"/>
        <w:kinsoku w:val="0"/>
        <w:overflowPunct w:val="0"/>
        <w:spacing w:line="360" w:lineRule="auto"/>
        <w:ind w:firstLine="458" w:firstLineChars="200"/>
        <w:jc w:val="both"/>
        <w:rPr>
          <w:rFonts w:cs="宋体"/>
          <w:b/>
          <w:color w:val="000000"/>
          <w:spacing w:val="-6"/>
        </w:rPr>
      </w:pPr>
      <w:r>
        <w:rPr>
          <w:rFonts w:cs="宋体"/>
          <w:b/>
          <w:color w:val="000000"/>
          <w:spacing w:val="-6"/>
        </w:rPr>
        <w:t>一、采购需求</w:t>
      </w:r>
    </w:p>
    <w:p>
      <w:pPr>
        <w:pStyle w:val="9"/>
        <w:kinsoku w:val="0"/>
        <w:overflowPunct w:val="0"/>
        <w:spacing w:line="360" w:lineRule="auto"/>
        <w:ind w:firstLine="458" w:firstLineChars="200"/>
        <w:jc w:val="both"/>
        <w:rPr>
          <w:rFonts w:cs="宋体"/>
          <w:b/>
          <w:color w:val="000000"/>
          <w:spacing w:val="-6"/>
        </w:rPr>
      </w:pPr>
      <w:r>
        <w:rPr>
          <w:rFonts w:cs="宋体"/>
          <w:b/>
          <w:color w:val="000000"/>
          <w:spacing w:val="-6"/>
        </w:rPr>
        <w:t>（一）服务内容</w:t>
      </w:r>
    </w:p>
    <w:p>
      <w:pPr>
        <w:pStyle w:val="9"/>
        <w:kinsoku w:val="0"/>
        <w:overflowPunct w:val="0"/>
        <w:spacing w:line="360" w:lineRule="auto"/>
        <w:ind w:firstLine="480" w:firstLineChars="200"/>
        <w:rPr>
          <w:rFonts w:cs="宋体"/>
          <w:color w:val="000000"/>
        </w:rPr>
      </w:pPr>
      <w:r>
        <w:rPr>
          <w:rFonts w:cs="宋体"/>
          <w:color w:val="000000"/>
        </w:rPr>
        <w:t>1.维修及零星劳务服务：校园范围内的零星劳务服务包括但不限于搬运、卫生整理等，维修工种包括但不限于普工、专业工种如木工、泥工、油漆工、电焊工等。</w:t>
      </w:r>
    </w:p>
    <w:p>
      <w:pPr>
        <w:pStyle w:val="9"/>
        <w:kinsoku w:val="0"/>
        <w:overflowPunct w:val="0"/>
        <w:spacing w:line="360" w:lineRule="auto"/>
        <w:ind w:firstLine="480" w:firstLineChars="200"/>
        <w:rPr>
          <w:rFonts w:cs="宋体"/>
          <w:color w:val="000000"/>
        </w:rPr>
      </w:pPr>
      <w:r>
        <w:rPr>
          <w:rFonts w:cs="宋体"/>
          <w:color w:val="000000"/>
        </w:rPr>
        <w:t>2.改造：校园范围内的一般维修改造项目（金额在5万元以下含5万元），包括但不限于建筑、装饰、安装、市政等。</w:t>
      </w:r>
    </w:p>
    <w:p>
      <w:pPr>
        <w:pStyle w:val="9"/>
        <w:kinsoku w:val="0"/>
        <w:overflowPunct w:val="0"/>
        <w:spacing w:line="360" w:lineRule="auto"/>
        <w:ind w:firstLine="458" w:firstLineChars="200"/>
        <w:jc w:val="both"/>
        <w:rPr>
          <w:rFonts w:cs="宋体"/>
          <w:b/>
          <w:color w:val="000000"/>
          <w:spacing w:val="-6"/>
        </w:rPr>
      </w:pPr>
      <w:r>
        <w:rPr>
          <w:rFonts w:cs="宋体"/>
          <w:b/>
          <w:color w:val="000000"/>
          <w:spacing w:val="-6"/>
        </w:rPr>
        <w:t>（二）入围服务商确认及派工安排</w:t>
      </w:r>
    </w:p>
    <w:p>
      <w:pPr>
        <w:pStyle w:val="9"/>
        <w:kinsoku w:val="0"/>
        <w:overflowPunct w:val="0"/>
        <w:spacing w:line="360" w:lineRule="auto"/>
        <w:ind w:firstLine="480" w:firstLineChars="200"/>
        <w:rPr>
          <w:rFonts w:cs="宋体"/>
          <w:color w:val="000000"/>
        </w:rPr>
      </w:pPr>
      <w:r>
        <w:rPr>
          <w:rFonts w:cs="宋体"/>
          <w:color w:val="000000"/>
        </w:rPr>
        <w:t>1.本次采购将选取折扣报价最低的前三名的投标人入围组成服务商库，并从入围的三家中选择折扣报价最低的服务商为常驻零星服务商，服务期为二年。</w:t>
      </w:r>
    </w:p>
    <w:p>
      <w:pPr>
        <w:pStyle w:val="9"/>
        <w:kinsoku w:val="0"/>
        <w:overflowPunct w:val="0"/>
        <w:spacing w:line="360" w:lineRule="auto"/>
        <w:ind w:firstLine="480" w:firstLineChars="200"/>
        <w:rPr>
          <w:rFonts w:hint="default" w:cs="宋体"/>
          <w:color w:val="000000"/>
        </w:rPr>
      </w:pPr>
      <w:r>
        <w:rPr>
          <w:rFonts w:cs="宋体"/>
          <w:color w:val="000000"/>
        </w:rPr>
        <w:t>2.日常5000元（含）以下零星服务由常驻零星服务商承担，5000元（不含）以上至5万元以下的项目，由采购人从三家入围服务商中</w:t>
      </w:r>
      <w:r>
        <w:rPr>
          <w:rFonts w:hint="eastAsia" w:cs="宋体"/>
          <w:color w:val="000000"/>
          <w:lang w:val="en-US" w:eastAsia="zh-CN"/>
        </w:rPr>
        <w:t>择优选取</w:t>
      </w:r>
      <w:r>
        <w:rPr>
          <w:rFonts w:cs="宋体"/>
          <w:color w:val="000000"/>
        </w:rPr>
        <w:t>一家承担。</w:t>
      </w:r>
    </w:p>
    <w:p>
      <w:pPr>
        <w:pStyle w:val="9"/>
        <w:kinsoku w:val="0"/>
        <w:overflowPunct w:val="0"/>
        <w:spacing w:line="360" w:lineRule="auto"/>
        <w:ind w:firstLine="458" w:firstLineChars="200"/>
        <w:jc w:val="both"/>
        <w:rPr>
          <w:rFonts w:hint="default" w:cs="宋体"/>
          <w:b/>
          <w:color w:val="000000"/>
          <w:spacing w:val="-6"/>
        </w:rPr>
      </w:pPr>
      <w:r>
        <w:rPr>
          <w:rFonts w:cs="宋体"/>
          <w:b/>
          <w:color w:val="000000"/>
          <w:spacing w:val="-6"/>
        </w:rPr>
        <w:t>（三）服务价格结算方式</w:t>
      </w:r>
    </w:p>
    <w:p>
      <w:pPr>
        <w:pStyle w:val="9"/>
        <w:kinsoku w:val="0"/>
        <w:overflowPunct w:val="0"/>
        <w:spacing w:line="360" w:lineRule="auto"/>
        <w:ind w:firstLine="480" w:firstLineChars="200"/>
        <w:rPr>
          <w:rFonts w:hint="default" w:cs="宋体"/>
          <w:color w:val="000000"/>
        </w:rPr>
      </w:pPr>
      <w:r>
        <w:rPr>
          <w:rFonts w:cs="宋体"/>
          <w:color w:val="000000"/>
        </w:rPr>
        <w:t>1.对零星维修认价单内的维修及劳务服务类项目，按以下方式结算：</w:t>
      </w:r>
    </w:p>
    <w:p>
      <w:pPr>
        <w:pStyle w:val="9"/>
        <w:kinsoku w:val="0"/>
        <w:overflowPunct w:val="0"/>
        <w:spacing w:line="360" w:lineRule="auto"/>
        <w:ind w:firstLine="480" w:firstLineChars="200"/>
      </w:pPr>
      <w:r>
        <w:rPr>
          <w:rFonts w:cs="宋体"/>
          <w:color w:val="000000"/>
        </w:rPr>
        <w:t>日常5000元（含）以下的零星服务项目，按常驻零星服务商所报的最低折扣率*</w:t>
      </w:r>
      <w:r>
        <w:rPr>
          <w:rFonts w:cs="宋体"/>
          <w:bCs/>
          <w:color w:val="000000"/>
          <w:spacing w:val="-6"/>
        </w:rPr>
        <w:t>认价单内</w:t>
      </w:r>
      <w:r>
        <w:rPr>
          <w:rFonts w:cs="宋体"/>
          <w:color w:val="000000"/>
        </w:rPr>
        <w:t>报价结算；5000元（不含）以上至5万元以下项目，按</w:t>
      </w:r>
      <w:r>
        <w:rPr>
          <w:rFonts w:cs="宋体"/>
        </w:rPr>
        <w:t>三家入围服务商中的</w:t>
      </w:r>
      <w:r>
        <w:rPr>
          <w:rFonts w:cs="宋体"/>
          <w:color w:val="000000"/>
        </w:rPr>
        <w:t>最高折扣率*</w:t>
      </w:r>
      <w:r>
        <w:rPr>
          <w:rFonts w:cs="宋体"/>
          <w:bCs/>
          <w:color w:val="000000"/>
          <w:spacing w:val="-6"/>
        </w:rPr>
        <w:t>认价单内报价</w:t>
      </w:r>
      <w:r>
        <w:rPr>
          <w:rFonts w:cs="宋体"/>
          <w:color w:val="000000"/>
        </w:rPr>
        <w:t>结算。</w:t>
      </w:r>
    </w:p>
    <w:p>
      <w:pPr>
        <w:pStyle w:val="9"/>
        <w:kinsoku w:val="0"/>
        <w:overflowPunct w:val="0"/>
        <w:spacing w:line="360" w:lineRule="auto"/>
        <w:ind w:firstLine="480" w:firstLineChars="200"/>
        <w:rPr>
          <w:rFonts w:hint="default" w:cs="宋体"/>
          <w:color w:val="000000"/>
        </w:rPr>
      </w:pPr>
      <w:r>
        <w:rPr>
          <w:rFonts w:cs="宋体"/>
          <w:color w:val="000000"/>
        </w:rPr>
        <w:t>2.对零星维修认价单外的维修及劳务服务类项目，按以下方式结算：</w:t>
      </w:r>
    </w:p>
    <w:p>
      <w:pPr>
        <w:pStyle w:val="9"/>
        <w:kinsoku w:val="0"/>
        <w:overflowPunct w:val="0"/>
        <w:spacing w:line="360" w:lineRule="auto"/>
        <w:ind w:firstLine="480" w:firstLineChars="200"/>
        <w:rPr>
          <w:rFonts w:cs="宋体"/>
          <w:color w:val="000000"/>
        </w:rPr>
      </w:pPr>
      <w:r>
        <w:rPr>
          <w:rFonts w:cs="宋体"/>
          <w:color w:val="000000"/>
        </w:rPr>
        <w:t>1）零星维修及劳务服务类：</w:t>
      </w:r>
    </w:p>
    <w:p>
      <w:pPr>
        <w:pStyle w:val="9"/>
        <w:kinsoku w:val="0"/>
        <w:overflowPunct w:val="0"/>
        <w:spacing w:line="360" w:lineRule="auto"/>
        <w:ind w:firstLine="480" w:firstLineChars="200"/>
        <w:rPr>
          <w:rFonts w:cs="宋体"/>
          <w:color w:val="000000"/>
        </w:rPr>
      </w:pPr>
      <w:r>
        <w:rPr>
          <w:rFonts w:cs="宋体"/>
          <w:color w:val="000000"/>
        </w:rPr>
        <w:t>1.1 零星派工：按实际发生用工工日计算，一个工日为8小时，满一个工日按工日结算，不满一个工日的折合成小时结算。</w:t>
      </w:r>
    </w:p>
    <w:p>
      <w:pPr>
        <w:pStyle w:val="9"/>
        <w:kinsoku w:val="0"/>
        <w:overflowPunct w:val="0"/>
        <w:spacing w:line="360" w:lineRule="auto"/>
        <w:ind w:firstLine="480" w:firstLineChars="200"/>
        <w:rPr>
          <w:rFonts w:cs="宋体"/>
          <w:color w:val="000000"/>
        </w:rPr>
      </w:pPr>
      <w:r>
        <w:rPr>
          <w:rFonts w:cs="宋体"/>
          <w:color w:val="000000"/>
        </w:rPr>
        <w:t>1.2 材料费用：具有信息价的材料按当月信息价进行计价，没有信息价的材料以采购方和中标单位双方协商共同确认的市场价进行计价。按维修实际使用材料计算。</w:t>
      </w:r>
    </w:p>
    <w:p>
      <w:pPr>
        <w:pStyle w:val="9"/>
        <w:kinsoku w:val="0"/>
        <w:overflowPunct w:val="0"/>
        <w:spacing w:line="360" w:lineRule="auto"/>
        <w:ind w:firstLine="480" w:firstLineChars="200"/>
        <w:rPr>
          <w:rFonts w:cs="宋体"/>
          <w:color w:val="000000"/>
        </w:rPr>
      </w:pPr>
      <w:r>
        <w:rPr>
          <w:rFonts w:cs="宋体"/>
          <w:color w:val="000000"/>
        </w:rPr>
        <w:t>1.3 结算维修费用=人工费+材料费（人工费和材料费含税费等其他一切费用）；如按照包干价结算的，由采购方和中标方根据实际工作量进行协商结算，包干价含人工费、材料、税费等，不下浮。</w:t>
      </w:r>
    </w:p>
    <w:p>
      <w:pPr>
        <w:pStyle w:val="9"/>
        <w:kinsoku w:val="0"/>
        <w:overflowPunct w:val="0"/>
        <w:spacing w:line="360" w:lineRule="auto"/>
        <w:ind w:firstLine="480" w:firstLineChars="200"/>
        <w:rPr>
          <w:rFonts w:cs="宋体"/>
          <w:color w:val="000000"/>
        </w:rPr>
      </w:pPr>
      <w:r>
        <w:rPr>
          <w:rFonts w:cs="宋体"/>
          <w:color w:val="000000"/>
        </w:rPr>
        <w:t>2）改造类：</w:t>
      </w:r>
    </w:p>
    <w:p>
      <w:pPr>
        <w:pStyle w:val="9"/>
        <w:kinsoku w:val="0"/>
        <w:overflowPunct w:val="0"/>
        <w:spacing w:line="360" w:lineRule="auto"/>
        <w:ind w:firstLine="480" w:firstLineChars="200"/>
        <w:rPr>
          <w:rFonts w:cs="宋体"/>
          <w:color w:val="000000"/>
        </w:rPr>
      </w:pPr>
      <w:r>
        <w:rPr>
          <w:rFonts w:cs="宋体"/>
          <w:color w:val="000000"/>
        </w:rPr>
        <w:t>2.1 中标单位按照采购方确认的改造方案、制作的预算方案进行施工。</w:t>
      </w:r>
    </w:p>
    <w:p>
      <w:pPr>
        <w:pStyle w:val="9"/>
        <w:kinsoku w:val="0"/>
        <w:overflowPunct w:val="0"/>
        <w:spacing w:line="360" w:lineRule="auto"/>
        <w:ind w:firstLine="480" w:firstLineChars="200"/>
        <w:rPr>
          <w:rFonts w:cs="宋体"/>
          <w:color w:val="000000"/>
        </w:rPr>
      </w:pPr>
      <w:r>
        <w:rPr>
          <w:rFonts w:cs="宋体"/>
          <w:color w:val="000000"/>
        </w:rPr>
        <w:t>2.2 结算方式：根据预算控制价按实际完成工程量（需在改造方案计划内，未在方案计划内的工程量需经采购方同意签证确认）进行结算；如按照包干价结算的，由采购方和中标方根据实际工作量进行协商结算，包干价含人工费、材料、税费等，不下浮。</w:t>
      </w:r>
    </w:p>
    <w:p>
      <w:pPr>
        <w:pStyle w:val="9"/>
        <w:kinsoku w:val="0"/>
        <w:overflowPunct w:val="0"/>
        <w:spacing w:line="360" w:lineRule="auto"/>
        <w:ind w:firstLine="458" w:firstLineChars="200"/>
        <w:rPr>
          <w:rFonts w:cs="宋体"/>
          <w:b/>
          <w:color w:val="000000"/>
          <w:spacing w:val="-6"/>
        </w:rPr>
      </w:pPr>
      <w:r>
        <w:rPr>
          <w:rFonts w:cs="宋体"/>
          <w:b/>
          <w:color w:val="000000"/>
          <w:spacing w:val="-6"/>
        </w:rPr>
        <w:t>（四）服务要求</w:t>
      </w:r>
    </w:p>
    <w:p>
      <w:pPr>
        <w:pStyle w:val="9"/>
        <w:kinsoku w:val="0"/>
        <w:overflowPunct w:val="0"/>
        <w:spacing w:line="360" w:lineRule="auto"/>
        <w:ind w:firstLine="480" w:firstLineChars="200"/>
        <w:rPr>
          <w:rFonts w:cs="宋体"/>
          <w:color w:val="000000"/>
        </w:rPr>
      </w:pPr>
      <w:r>
        <w:rPr>
          <w:rFonts w:cs="宋体"/>
          <w:color w:val="000000"/>
        </w:rPr>
        <w:t>1.入围服务商必须具有能完成本项目所有工作所需的技术人员，并需指定一名管理人员作为常驻人员与采购人进行对接。</w:t>
      </w:r>
    </w:p>
    <w:p>
      <w:pPr>
        <w:pStyle w:val="9"/>
        <w:kinsoku w:val="0"/>
        <w:overflowPunct w:val="0"/>
        <w:spacing w:line="360" w:lineRule="auto"/>
        <w:ind w:firstLine="480" w:firstLineChars="200"/>
        <w:rPr>
          <w:rFonts w:cs="宋体"/>
          <w:color w:val="000000"/>
        </w:rPr>
      </w:pPr>
      <w:r>
        <w:rPr>
          <w:rFonts w:cs="宋体"/>
          <w:color w:val="000000"/>
        </w:rPr>
        <w:t>2.入围服务商必须在接到采购方通知后两小时内管理人员到场，并按采购方要求时间和期限完成服务。其中常驻零星项目服务商要确保通知后两小时内提供服务，并按采购人要求时间和质量完成各项工作任务。</w:t>
      </w:r>
    </w:p>
    <w:p>
      <w:pPr>
        <w:pStyle w:val="9"/>
        <w:kinsoku w:val="0"/>
        <w:overflowPunct w:val="0"/>
        <w:spacing w:line="360" w:lineRule="auto"/>
        <w:ind w:firstLine="480" w:firstLineChars="200"/>
        <w:rPr>
          <w:rFonts w:cs="宋体"/>
          <w:color w:val="000000"/>
        </w:rPr>
      </w:pPr>
      <w:r>
        <w:rPr>
          <w:rFonts w:cs="宋体"/>
          <w:color w:val="000000"/>
        </w:rPr>
        <w:t>3.入围服务商必须服从采购人管理，对采购人交办的维修及改造项目，按采购人要求按时保质保量完成。</w:t>
      </w:r>
    </w:p>
    <w:p>
      <w:pPr>
        <w:pStyle w:val="9"/>
        <w:kinsoku w:val="0"/>
        <w:overflowPunct w:val="0"/>
        <w:spacing w:line="360" w:lineRule="auto"/>
        <w:ind w:firstLine="480" w:firstLineChars="200"/>
        <w:rPr>
          <w:rFonts w:cs="宋体"/>
          <w:color w:val="000000"/>
        </w:rPr>
      </w:pPr>
      <w:r>
        <w:rPr>
          <w:rFonts w:cs="宋体"/>
          <w:color w:val="000000"/>
        </w:rPr>
        <w:t>4.入围服务商不得以服务项目的工作量太小、工价太低、找不到人做事等任何理由拒绝采购人交办的各项任务。</w:t>
      </w:r>
    </w:p>
    <w:p>
      <w:pPr>
        <w:pStyle w:val="9"/>
        <w:kinsoku w:val="0"/>
        <w:overflowPunct w:val="0"/>
        <w:spacing w:line="360" w:lineRule="auto"/>
        <w:ind w:firstLine="480" w:firstLineChars="200"/>
        <w:rPr>
          <w:rFonts w:cs="宋体"/>
          <w:color w:val="000000"/>
        </w:rPr>
      </w:pPr>
      <w:r>
        <w:rPr>
          <w:rFonts w:cs="宋体"/>
          <w:color w:val="000000"/>
        </w:rPr>
        <w:t>5.材料质量要求</w:t>
      </w:r>
    </w:p>
    <w:p>
      <w:pPr>
        <w:pStyle w:val="9"/>
        <w:kinsoku w:val="0"/>
        <w:overflowPunct w:val="0"/>
        <w:spacing w:line="360" w:lineRule="auto"/>
        <w:ind w:firstLine="480" w:firstLineChars="200"/>
        <w:rPr>
          <w:rFonts w:cs="宋体"/>
          <w:color w:val="000000"/>
        </w:rPr>
      </w:pPr>
      <w:r>
        <w:rPr>
          <w:rFonts w:cs="宋体"/>
          <w:color w:val="000000"/>
        </w:rPr>
        <w:t>5.1入围服务商所使用的维修或改造材料必须符合国家标准或行业标准、全新的优质产品（采购人在项目中对材质、品牌有具体要求的，按采购人要求提供）；</w:t>
      </w:r>
    </w:p>
    <w:p>
      <w:pPr>
        <w:pStyle w:val="9"/>
        <w:kinsoku w:val="0"/>
        <w:overflowPunct w:val="0"/>
        <w:spacing w:line="360" w:lineRule="auto"/>
        <w:ind w:firstLine="480" w:firstLineChars="200"/>
        <w:rPr>
          <w:rFonts w:cs="宋体"/>
          <w:color w:val="000000"/>
        </w:rPr>
      </w:pPr>
      <w:r>
        <w:rPr>
          <w:rFonts w:cs="宋体"/>
          <w:color w:val="000000"/>
        </w:rPr>
        <w:t>5.2所提供的材料必须经采购人确认后方可使用，否则采购人有权拒绝验收，入围服务商必须根据采购人要求立即返工，由此造成的损失由入围服务商自行承担。</w:t>
      </w:r>
    </w:p>
    <w:p>
      <w:pPr>
        <w:pStyle w:val="9"/>
        <w:kinsoku w:val="0"/>
        <w:overflowPunct w:val="0"/>
        <w:spacing w:line="360" w:lineRule="auto"/>
        <w:ind w:firstLine="480" w:firstLineChars="200"/>
        <w:rPr>
          <w:rFonts w:cs="宋体"/>
          <w:color w:val="000000"/>
        </w:rPr>
      </w:pPr>
      <w:r>
        <w:rPr>
          <w:rFonts w:cs="宋体"/>
          <w:color w:val="000000"/>
        </w:rPr>
        <w:t>6.服务质量要求</w:t>
      </w:r>
    </w:p>
    <w:p>
      <w:pPr>
        <w:pStyle w:val="9"/>
        <w:kinsoku w:val="0"/>
        <w:overflowPunct w:val="0"/>
        <w:spacing w:line="360" w:lineRule="auto"/>
        <w:ind w:firstLine="480" w:firstLineChars="200"/>
        <w:rPr>
          <w:rFonts w:cs="宋体"/>
          <w:color w:val="000000"/>
        </w:rPr>
      </w:pPr>
      <w:r>
        <w:rPr>
          <w:rFonts w:cs="宋体"/>
          <w:color w:val="000000"/>
        </w:rPr>
        <w:t>6.1必须按国家标准或行业标准进行施工，因质量或施工不符合要求，入围服务商必须按采购人要求进行返工，返工后仍不合格的，采购人有权单方中止合同，由此造成的损失由中标方自行承担。</w:t>
      </w:r>
    </w:p>
    <w:p>
      <w:pPr>
        <w:pStyle w:val="9"/>
        <w:kinsoku w:val="0"/>
        <w:overflowPunct w:val="0"/>
        <w:spacing w:line="360" w:lineRule="auto"/>
        <w:ind w:firstLine="480" w:firstLineChars="200"/>
        <w:rPr>
          <w:rFonts w:cs="宋体"/>
          <w:color w:val="000000"/>
        </w:rPr>
      </w:pPr>
      <w:r>
        <w:rPr>
          <w:rFonts w:cs="宋体"/>
          <w:color w:val="000000"/>
        </w:rPr>
        <w:t>6.2所有维修和改造项目的质保期为1年（国家另有明确标准的，按国家标准执行），除特殊情况（人为、自然灾害）外，1年内因原材料或零配件质量问题或维修不当导致的质量问题，中标人必须无条件地及时维修或更换。</w:t>
      </w:r>
    </w:p>
    <w:p>
      <w:pPr>
        <w:pStyle w:val="9"/>
        <w:kinsoku w:val="0"/>
        <w:overflowPunct w:val="0"/>
        <w:spacing w:line="360" w:lineRule="auto"/>
        <w:ind w:firstLine="480" w:firstLineChars="200"/>
        <w:rPr>
          <w:rFonts w:cs="宋体"/>
          <w:color w:val="000000"/>
        </w:rPr>
      </w:pPr>
      <w:r>
        <w:rPr>
          <w:rFonts w:cs="宋体"/>
          <w:color w:val="000000"/>
        </w:rPr>
        <w:t>7.工程施工要求</w:t>
      </w:r>
    </w:p>
    <w:p>
      <w:pPr>
        <w:pStyle w:val="9"/>
        <w:kinsoku w:val="0"/>
        <w:overflowPunct w:val="0"/>
        <w:spacing w:line="360" w:lineRule="auto"/>
        <w:ind w:firstLine="480" w:firstLineChars="200"/>
        <w:rPr>
          <w:rFonts w:cs="宋体"/>
          <w:color w:val="000000"/>
        </w:rPr>
      </w:pPr>
      <w:r>
        <w:rPr>
          <w:rFonts w:cs="宋体"/>
          <w:color w:val="000000"/>
        </w:rPr>
        <w:t>7.1入围服务商必须根据项目现场踏勘实际情况及设计图纸提供改造后的彩色设计效果图，入围服务商设计效果图送采购人修改审核，并按采购人需求时进行改进，设计效果图经采购人最终签字确认后，按设计效果图进行施工，否则采购人有权拒绝验收，由此造成的损失由投标人自行承担。</w:t>
      </w:r>
    </w:p>
    <w:p>
      <w:pPr>
        <w:pStyle w:val="9"/>
        <w:kinsoku w:val="0"/>
        <w:overflowPunct w:val="0"/>
        <w:spacing w:line="360" w:lineRule="auto"/>
        <w:ind w:firstLine="480" w:firstLineChars="200"/>
        <w:rPr>
          <w:rFonts w:cs="宋体"/>
          <w:color w:val="000000"/>
        </w:rPr>
      </w:pPr>
      <w:r>
        <w:rPr>
          <w:rFonts w:cs="宋体"/>
          <w:color w:val="000000"/>
        </w:rPr>
        <w:t>7.2施工过程中必须按相关施工规范做到文明施工、安全施工，在施工过程中所发生的一切安全事故责任由施工方自行承担。</w:t>
      </w:r>
    </w:p>
    <w:p>
      <w:pPr>
        <w:pStyle w:val="9"/>
        <w:kinsoku w:val="0"/>
        <w:overflowPunct w:val="0"/>
        <w:spacing w:line="360" w:lineRule="auto"/>
        <w:ind w:firstLine="480" w:firstLineChars="200"/>
        <w:rPr>
          <w:rFonts w:cs="宋体"/>
          <w:color w:val="000000"/>
        </w:rPr>
      </w:pPr>
      <w:r>
        <w:rPr>
          <w:rFonts w:cs="宋体"/>
          <w:color w:val="000000"/>
        </w:rPr>
        <w:t>7.3施工过程中所涉及的施工设备、器具等均由入围服务商自行提供，所产生的水电等与施工有关费用由入围服务商承担。</w:t>
      </w:r>
    </w:p>
    <w:p>
      <w:pPr>
        <w:pStyle w:val="9"/>
        <w:kinsoku w:val="0"/>
        <w:overflowPunct w:val="0"/>
        <w:spacing w:line="360" w:lineRule="auto"/>
        <w:ind w:firstLine="458" w:firstLineChars="200"/>
        <w:jc w:val="both"/>
        <w:rPr>
          <w:rFonts w:cs="宋体"/>
          <w:b/>
          <w:color w:val="000000"/>
          <w:spacing w:val="-6"/>
        </w:rPr>
      </w:pPr>
      <w:r>
        <w:rPr>
          <w:rFonts w:cs="宋体"/>
          <w:b/>
          <w:color w:val="000000"/>
          <w:spacing w:val="-6"/>
        </w:rPr>
        <w:t>二、商务需求</w:t>
      </w:r>
    </w:p>
    <w:p>
      <w:pPr>
        <w:pStyle w:val="9"/>
        <w:kinsoku w:val="0"/>
        <w:overflowPunct w:val="0"/>
        <w:spacing w:line="360" w:lineRule="auto"/>
        <w:ind w:firstLine="480" w:firstLineChars="200"/>
        <w:rPr>
          <w:rFonts w:cs="宋体"/>
          <w:color w:val="000000"/>
        </w:rPr>
      </w:pPr>
      <w:r>
        <w:rPr>
          <w:rFonts w:cs="宋体"/>
          <w:color w:val="000000"/>
        </w:rPr>
        <w:t>（一）售后服务要求</w:t>
      </w:r>
    </w:p>
    <w:p>
      <w:pPr>
        <w:pStyle w:val="9"/>
        <w:kinsoku w:val="0"/>
        <w:overflowPunct w:val="0"/>
        <w:spacing w:line="360" w:lineRule="auto"/>
        <w:ind w:firstLine="480" w:firstLineChars="200"/>
        <w:rPr>
          <w:rFonts w:cs="宋体"/>
          <w:color w:val="000000"/>
        </w:rPr>
      </w:pPr>
      <w:r>
        <w:rPr>
          <w:rFonts w:cs="宋体"/>
          <w:color w:val="000000"/>
        </w:rPr>
        <w:t>1.所提供的材料应是全新、正规厂家生产的产品，具有生产厂家质量合格证、手续齐全且合法的产品；</w:t>
      </w:r>
    </w:p>
    <w:p>
      <w:pPr>
        <w:pStyle w:val="9"/>
        <w:kinsoku w:val="0"/>
        <w:overflowPunct w:val="0"/>
        <w:spacing w:line="360" w:lineRule="auto"/>
        <w:ind w:firstLine="480" w:firstLineChars="200"/>
        <w:rPr>
          <w:rFonts w:cs="宋体"/>
          <w:color w:val="000000"/>
        </w:rPr>
      </w:pPr>
      <w:r>
        <w:rPr>
          <w:rFonts w:cs="宋体"/>
          <w:color w:val="000000"/>
        </w:rPr>
        <w:t>2.提供的原材料或配件必须符合采购人原有设施的质量规格要求,材料或配件售后服务不低于国家或生产厂家规定的“三包”等标准。经维修的项目必须提供一年免费质量保证期,如在一年内又出现问题,中标人必须免费保修。所有项目的质量保证期均自项目最终验收之日起计算。</w:t>
      </w:r>
    </w:p>
    <w:p>
      <w:pPr>
        <w:widowControl/>
        <w:spacing w:line="360" w:lineRule="auto"/>
        <w:ind w:firstLine="480" w:firstLineChars="200"/>
        <w:rPr>
          <w:rFonts w:cs="宋体"/>
          <w:color w:val="000000"/>
          <w:sz w:val="24"/>
        </w:rPr>
      </w:pPr>
      <w:r>
        <w:rPr>
          <w:rFonts w:cs="宋体"/>
          <w:color w:val="000000"/>
          <w:sz w:val="24"/>
        </w:rPr>
        <w:t>3.在质保期内，如有工程质量问题，供应商在接到采购方报修电话，在半小时内响应，4 小时内赶到现场处理，以保证采购方工作正常开展。</w:t>
      </w:r>
    </w:p>
    <w:p>
      <w:pPr>
        <w:widowControl/>
        <w:spacing w:line="360" w:lineRule="auto"/>
        <w:ind w:firstLine="480" w:firstLineChars="200"/>
        <w:rPr>
          <w:rFonts w:cs="宋体"/>
          <w:color w:val="000000"/>
          <w:sz w:val="24"/>
        </w:rPr>
      </w:pPr>
      <w:r>
        <w:rPr>
          <w:rFonts w:cs="宋体"/>
          <w:color w:val="000000"/>
          <w:sz w:val="24"/>
        </w:rPr>
        <w:t>4.本项目报价和费用包含设备材料费、人工费、运输费、安装施工费、税费等所有不可预见的费用，如一旦中标，在项目实施中出现任何遗漏，均由中标供应商免费提供，采购人不再支付任何费用。</w:t>
      </w:r>
    </w:p>
    <w:p>
      <w:pPr>
        <w:pStyle w:val="9"/>
        <w:kinsoku w:val="0"/>
        <w:overflowPunct w:val="0"/>
        <w:spacing w:line="360" w:lineRule="auto"/>
        <w:ind w:firstLine="480" w:firstLineChars="200"/>
        <w:rPr>
          <w:rFonts w:cs="宋体"/>
          <w:color w:val="000000"/>
        </w:rPr>
      </w:pPr>
      <w:r>
        <w:rPr>
          <w:rFonts w:cs="宋体"/>
          <w:color w:val="000000"/>
        </w:rPr>
        <w:t>（二）服务方式</w:t>
      </w:r>
    </w:p>
    <w:p>
      <w:pPr>
        <w:pStyle w:val="9"/>
        <w:kinsoku w:val="0"/>
        <w:overflowPunct w:val="0"/>
        <w:spacing w:line="360" w:lineRule="auto"/>
        <w:ind w:firstLine="480" w:firstLineChars="200"/>
        <w:rPr>
          <w:rFonts w:cs="宋体"/>
          <w:color w:val="000000"/>
        </w:rPr>
      </w:pPr>
      <w:r>
        <w:rPr>
          <w:rFonts w:cs="宋体"/>
          <w:color w:val="000000"/>
        </w:rPr>
        <w:t>入围服务商根据采购方要求（含包工包料）提供详细维修施工方案并经并经采购人同意后施工，并最终通过验收合格。</w:t>
      </w:r>
    </w:p>
    <w:p>
      <w:pPr>
        <w:pStyle w:val="9"/>
        <w:kinsoku w:val="0"/>
        <w:overflowPunct w:val="0"/>
        <w:spacing w:line="360" w:lineRule="auto"/>
        <w:ind w:firstLine="480" w:firstLineChars="200"/>
        <w:rPr>
          <w:rFonts w:cs="宋体"/>
          <w:color w:val="000000"/>
        </w:rPr>
      </w:pPr>
      <w:r>
        <w:rPr>
          <w:rFonts w:cs="宋体"/>
          <w:color w:val="000000"/>
        </w:rPr>
        <w:t>（三）服务地点：采购人指定的地点。</w:t>
      </w:r>
    </w:p>
    <w:p>
      <w:pPr>
        <w:pStyle w:val="9"/>
        <w:kinsoku w:val="0"/>
        <w:overflowPunct w:val="0"/>
        <w:spacing w:line="360" w:lineRule="auto"/>
        <w:ind w:firstLine="480" w:firstLineChars="200"/>
        <w:rPr>
          <w:rFonts w:cs="宋体"/>
          <w:color w:val="000000"/>
        </w:rPr>
      </w:pPr>
      <w:r>
        <w:rPr>
          <w:rFonts w:cs="宋体"/>
          <w:color w:val="000000"/>
        </w:rPr>
        <w:t>（四）付款方式</w:t>
      </w:r>
    </w:p>
    <w:p>
      <w:pPr>
        <w:pStyle w:val="9"/>
        <w:kinsoku w:val="0"/>
        <w:overflowPunct w:val="0"/>
        <w:spacing w:line="360" w:lineRule="auto"/>
        <w:ind w:firstLine="480" w:firstLineChars="200"/>
        <w:rPr>
          <w:rFonts w:cs="宋体"/>
          <w:color w:val="000000"/>
        </w:rPr>
      </w:pPr>
      <w:r>
        <w:rPr>
          <w:rFonts w:cs="宋体"/>
          <w:color w:val="000000"/>
        </w:rPr>
        <w:t>按当月实际完成的工作量一月一结，已完成验收和审计决算的项目方可计入当月结算项目。结算后，由入围服务商提供发票完成校内审批手续后支付。</w:t>
      </w:r>
    </w:p>
    <w:p>
      <w:pPr>
        <w:pStyle w:val="9"/>
        <w:kinsoku w:val="0"/>
        <w:overflowPunct w:val="0"/>
        <w:spacing w:line="360" w:lineRule="auto"/>
        <w:ind w:firstLine="480" w:firstLineChars="200"/>
        <w:rPr>
          <w:rFonts w:cs="宋体"/>
          <w:color w:val="000000"/>
        </w:rPr>
      </w:pPr>
      <w:r>
        <w:rPr>
          <w:rFonts w:cs="宋体"/>
          <w:color w:val="000000"/>
        </w:rPr>
        <w:t>（五）履约保证金</w:t>
      </w:r>
    </w:p>
    <w:p>
      <w:pPr>
        <w:pStyle w:val="9"/>
        <w:kinsoku w:val="0"/>
        <w:overflowPunct w:val="0"/>
        <w:spacing w:line="360" w:lineRule="auto"/>
        <w:ind w:firstLine="480" w:firstLineChars="200"/>
        <w:rPr>
          <w:rFonts w:cs="宋体"/>
        </w:rPr>
      </w:pPr>
      <w:r>
        <w:rPr>
          <w:rFonts w:cs="宋体"/>
          <w:color w:val="000000"/>
        </w:rPr>
        <w:t>履约保证金：签署合同前，入围服务商向学校支付5万的履约保证</w:t>
      </w:r>
      <w:r>
        <w:rPr>
          <w:rFonts w:cs="宋体"/>
        </w:rPr>
        <w:t>金，合同履约完毕后三十个工作日内一次性无息退回。</w:t>
      </w:r>
    </w:p>
    <w:p>
      <w:pPr>
        <w:pStyle w:val="9"/>
        <w:kinsoku w:val="0"/>
        <w:overflowPunct w:val="0"/>
        <w:spacing w:line="360" w:lineRule="auto"/>
        <w:ind w:firstLine="480" w:firstLineChars="200"/>
        <w:rPr>
          <w:rFonts w:cs="宋体"/>
          <w:color w:val="000000"/>
        </w:rPr>
      </w:pPr>
      <w:r>
        <w:rPr>
          <w:rFonts w:cs="宋体"/>
          <w:color w:val="000000"/>
        </w:rPr>
        <w:t>（六）入围服务商按下列情形进行考核奖惩：</w:t>
      </w:r>
    </w:p>
    <w:p>
      <w:pPr>
        <w:pStyle w:val="9"/>
        <w:kinsoku w:val="0"/>
        <w:overflowPunct w:val="0"/>
        <w:spacing w:line="360" w:lineRule="auto"/>
        <w:ind w:firstLine="480" w:firstLineChars="200"/>
        <w:rPr>
          <w:rFonts w:cs="宋体"/>
          <w:color w:val="000000"/>
        </w:rPr>
      </w:pPr>
      <w:r>
        <w:rPr>
          <w:rFonts w:cs="宋体"/>
          <w:color w:val="000000"/>
        </w:rPr>
        <w:t>1.未按要求提供服务：入围供应商被抽取到承担某一项目无特殊理由不承担的，每次按履约保证金总额的10%扣罚履约保证金。</w:t>
      </w:r>
    </w:p>
    <w:p>
      <w:pPr>
        <w:pStyle w:val="9"/>
        <w:kinsoku w:val="0"/>
        <w:overflowPunct w:val="0"/>
        <w:spacing w:line="360" w:lineRule="auto"/>
        <w:ind w:firstLine="480" w:firstLineChars="200"/>
        <w:rPr>
          <w:rFonts w:cs="宋体"/>
          <w:color w:val="000000"/>
        </w:rPr>
      </w:pPr>
      <w:r>
        <w:rPr>
          <w:rFonts w:cs="宋体"/>
          <w:color w:val="000000"/>
        </w:rPr>
        <w:t>2.工期逾期：若项目工期未按事先双方约定期限完工且由施工方造成的，每逾期一天按履约保证金总额的0.3%扣罚履约保证金。如项目逾期十天及以上，采购方有权中止合同且不支付任何费用，并有权向施工方要求赔偿损失。因工程项目逾期所增加的费用均由施工方承担。</w:t>
      </w:r>
    </w:p>
    <w:p>
      <w:pPr>
        <w:pStyle w:val="9"/>
        <w:kinsoku w:val="0"/>
        <w:overflowPunct w:val="0"/>
        <w:spacing w:line="360" w:lineRule="auto"/>
        <w:ind w:firstLine="480" w:firstLineChars="200"/>
        <w:rPr>
          <w:rFonts w:cs="宋体"/>
          <w:color w:val="000000"/>
        </w:rPr>
      </w:pPr>
      <w:r>
        <w:rPr>
          <w:rFonts w:cs="宋体"/>
          <w:color w:val="000000"/>
        </w:rPr>
        <w:t>3.工程质量：工程质量未达到项目约定标准的，施工方必须返工直至工程质量达到项目约定的标准为止，并由施工方承担由此增加的费用和延误的工期，同时视出现质量工序在整个项目的主次按履约保证金总额的1-5%扣罚履约保证金；如出现重大质量事故，由施工方承担全部的责任，并中止服务合同，同时采购方有权向施工方请求赔偿损失。</w:t>
      </w:r>
    </w:p>
    <w:p>
      <w:pPr>
        <w:pStyle w:val="9"/>
        <w:kinsoku w:val="0"/>
        <w:overflowPunct w:val="0"/>
        <w:spacing w:line="360" w:lineRule="auto"/>
        <w:ind w:firstLine="480" w:firstLineChars="200"/>
        <w:rPr>
          <w:rFonts w:cs="宋体"/>
          <w:color w:val="000000"/>
        </w:rPr>
      </w:pPr>
      <w:r>
        <w:rPr>
          <w:rFonts w:cs="宋体"/>
          <w:color w:val="000000"/>
        </w:rPr>
        <w:t>4.文明施工：施工方未按施工规范和采购人事先约定的要求进行施工，对采购人或第三方造成影响的，视情况按履约保证金总额的0.5-2%扣罚履约保证金；在施工中未使用合格的设备或未按规范采取安全保护措施的，视情况按履约保证金总额的1-5%扣罚履约保证金；造成安全事故的由施工方承担由此产生的全部责任并中止服务合同，同时采购方有权向施工方请求赔偿损失。</w:t>
      </w:r>
    </w:p>
    <w:p>
      <w:pPr>
        <w:pStyle w:val="9"/>
        <w:kinsoku w:val="0"/>
        <w:overflowPunct w:val="0"/>
        <w:spacing w:line="360" w:lineRule="auto"/>
        <w:ind w:firstLine="480" w:firstLineChars="200"/>
        <w:rPr>
          <w:rFonts w:cs="宋体"/>
          <w:color w:val="000000"/>
        </w:rPr>
        <w:sectPr>
          <w:footerReference r:id="rId3" w:type="default"/>
          <w:pgSz w:w="11910" w:h="16840"/>
          <w:pgMar w:top="1520" w:right="800" w:bottom="1020" w:left="980" w:header="0" w:footer="835" w:gutter="0"/>
          <w:cols w:space="720" w:num="1"/>
        </w:sectPr>
      </w:pPr>
      <w:r>
        <w:rPr>
          <w:rFonts w:cs="宋体"/>
          <w:color w:val="000000"/>
        </w:rPr>
        <w:t>5.入围服务商因上述1-4项原因导致履约保证金被扣罚，单次扣罚金额在600元及以上，每扣罚一次则停止一次项目抽取机会；履约保证金被全部扣罚完则自动中止服务合同。</w:t>
      </w:r>
    </w:p>
    <w:tbl>
      <w:tblPr>
        <w:tblStyle w:val="14"/>
        <w:tblW w:w="9931" w:type="dxa"/>
        <w:tblInd w:w="98" w:type="dxa"/>
        <w:tblLayout w:type="fixed"/>
        <w:tblCellMar>
          <w:top w:w="0" w:type="dxa"/>
          <w:left w:w="108" w:type="dxa"/>
          <w:bottom w:w="0" w:type="dxa"/>
          <w:right w:w="108" w:type="dxa"/>
        </w:tblCellMar>
      </w:tblPr>
      <w:tblGrid>
        <w:gridCol w:w="636"/>
        <w:gridCol w:w="1774"/>
        <w:gridCol w:w="711"/>
        <w:gridCol w:w="2079"/>
        <w:gridCol w:w="1501"/>
        <w:gridCol w:w="3230"/>
      </w:tblGrid>
      <w:tr>
        <w:tblPrEx>
          <w:tblCellMar>
            <w:top w:w="0" w:type="dxa"/>
            <w:left w:w="108" w:type="dxa"/>
            <w:bottom w:w="0" w:type="dxa"/>
            <w:right w:w="108" w:type="dxa"/>
          </w:tblCellMar>
        </w:tblPrEx>
        <w:trPr>
          <w:trHeight w:val="350" w:hRule="atLeast"/>
        </w:trPr>
        <w:tc>
          <w:tcPr>
            <w:tcW w:w="9931" w:type="dxa"/>
            <w:gridSpan w:val="6"/>
            <w:tcBorders>
              <w:top w:val="nil"/>
              <w:left w:val="nil"/>
              <w:bottom w:val="nil"/>
              <w:right w:val="nil"/>
            </w:tcBorders>
            <w:noWrap/>
            <w:vAlign w:val="center"/>
          </w:tcPr>
          <w:p>
            <w:pPr>
              <w:widowControl/>
              <w:jc w:val="center"/>
              <w:textAlignment w:val="center"/>
              <w:rPr>
                <w:rFonts w:ascii="黑体" w:hAnsi="黑体" w:eastAsia="黑体" w:cs="黑体"/>
                <w:color w:val="000000"/>
                <w:sz w:val="28"/>
                <w:szCs w:val="28"/>
              </w:rPr>
            </w:pPr>
            <w:r>
              <w:rPr>
                <w:rFonts w:ascii="黑体" w:hAnsi="黑体" w:eastAsia="黑体" w:cs="黑体"/>
                <w:color w:val="000000"/>
                <w:sz w:val="36"/>
                <w:szCs w:val="36"/>
                <w:lang w:bidi="ar"/>
              </w:rPr>
              <w:t>零星维修认价单</w:t>
            </w:r>
          </w:p>
        </w:tc>
      </w:tr>
      <w:tr>
        <w:tblPrEx>
          <w:tblCellMar>
            <w:top w:w="0" w:type="dxa"/>
            <w:left w:w="108" w:type="dxa"/>
            <w:bottom w:w="0" w:type="dxa"/>
            <w:right w:w="108" w:type="dxa"/>
          </w:tblCellMar>
        </w:tblPrEx>
        <w:trPr>
          <w:trHeight w:val="350" w:hRule="atLeast"/>
        </w:trPr>
        <w:tc>
          <w:tcPr>
            <w:tcW w:w="9931" w:type="dxa"/>
            <w:gridSpan w:val="6"/>
            <w:tcBorders>
              <w:top w:val="nil"/>
              <w:left w:val="nil"/>
              <w:bottom w:val="nil"/>
              <w:right w:val="nil"/>
            </w:tcBorders>
            <w:noWrap/>
            <w:vAlign w:val="center"/>
          </w:tcPr>
          <w:p>
            <w:pPr>
              <w:widowControl/>
              <w:jc w:val="right"/>
              <w:textAlignment w:val="center"/>
              <w:rPr>
                <w:rFonts w:ascii="仿宋" w:hAnsi="仿宋" w:eastAsia="仿宋" w:cs="宋体"/>
                <w:color w:val="000000"/>
                <w:sz w:val="28"/>
                <w:szCs w:val="28"/>
              </w:rPr>
            </w:pPr>
            <w:r>
              <w:rPr>
                <w:rFonts w:ascii="仿宋" w:hAnsi="仿宋" w:eastAsia="仿宋" w:cs="宋体"/>
                <w:color w:val="000000"/>
                <w:sz w:val="28"/>
                <w:szCs w:val="28"/>
                <w:lang w:bidi="ar"/>
              </w:rPr>
              <w:t>单位：元</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_GB2312"/>
                <w:color w:val="000000"/>
                <w:sz w:val="28"/>
                <w:szCs w:val="28"/>
              </w:rPr>
            </w:pPr>
            <w:r>
              <w:rPr>
                <w:rFonts w:hint="default" w:ascii="仿宋" w:hAnsi="仿宋" w:eastAsia="仿宋" w:cs="仿宋_GB2312"/>
                <w:color w:val="000000"/>
                <w:sz w:val="28"/>
                <w:szCs w:val="28"/>
                <w:lang w:bidi="ar"/>
              </w:rPr>
              <w:t>序号</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项目名称</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单位</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项目内容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市场单价（2024）</w:t>
            </w:r>
          </w:p>
        </w:tc>
        <w:tc>
          <w:tcPr>
            <w:tcW w:w="3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备      注</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防盗门电焊（三个合页）</w:t>
            </w:r>
          </w:p>
        </w:tc>
        <w:tc>
          <w:tcPr>
            <w:tcW w:w="7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扇</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换门</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人工费（含安装）</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（合页三付）</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电焊维修</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单</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床架、护栏、晾衣架、扶梯、门、窗、扣、锁等</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电焊3处以内60元、每增一处另加20元</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氩氟焊</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单</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焊3处以内80元、每增一处另加30元</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零星修补地面砖（指1处破损面积1平米以内）</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铲除地面砖及垫层</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贴地面砖（含垫层2-5CM）</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人工费、水泥砂浆</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地面砖</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主材（特殊高档材料另议）</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零星修补地面大理石（指1处破损面积1平米以内）</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铲除地面石及垫层</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贴地面石（含垫层2-5CM）</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人工费、水泥砂浆</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地面大理石3-5CM</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120-160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主材（特殊高档材料另议）</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零星修补墙、柱面瓷砖（含干挂）</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拆除面砖</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贴墙、柱柱面砖</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人工费、水泥砂浆</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墙、柱面砖</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主材（特殊高档材料另议）</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14</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零星修补墙、柱面大理石（含干挂）</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拆除墙、柱面大理石</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16.00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15</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贴、墙柱面大理石</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人工费含水泥砂浆、不含主材</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16</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墙、柱面大理石2-3CM</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主材（特殊高档材料另议）</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17</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零星大理石、陶瓷踢角线维修</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铲除原踢角线</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18</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贴踢角线</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16.00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人工费含辅材</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19</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陶瓷石踢角线</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主材（特殊高档材料另议）</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20</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贴大理石踢角线</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主材（特殊高档材料另议）</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零星开挖（5m3以内）</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22</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回填（5m3以内）</w:t>
            </w:r>
          </w:p>
        </w:tc>
        <w:tc>
          <w:tcPr>
            <w:tcW w:w="71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25.00</w:t>
            </w:r>
          </w:p>
        </w:tc>
        <w:tc>
          <w:tcPr>
            <w:tcW w:w="3230" w:type="dxa"/>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23</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红机砖砌体</w:t>
            </w:r>
          </w:p>
        </w:tc>
        <w:tc>
          <w:tcPr>
            <w:tcW w:w="7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12机砖墙</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92.00</w:t>
            </w:r>
          </w:p>
        </w:tc>
        <w:tc>
          <w:tcPr>
            <w:tcW w:w="3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含主材、辅材</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24</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24机砖墙</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184.00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25</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粉墙体</w:t>
            </w: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机砖墙面粉刷</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38.00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26</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零星抹灰</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68.00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27</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路混泥土路沿石</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52.00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含主材、水泥砂浆</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28</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刮瓷、刷乳胶漆（室内）</w:t>
            </w:r>
          </w:p>
        </w:tc>
        <w:tc>
          <w:tcPr>
            <w:tcW w:w="7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m2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23.00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含材料（多乐士、立邦无味漆）二遍</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29</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刮瓷（室内）</w:t>
            </w: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10.70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含材料（多乐士）二遍</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刮瓷（室内）</w:t>
            </w: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4.30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增减一遍</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刷乳胶漆（室内）</w:t>
            </w: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增减一遍</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32</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刮瓷、刷乳胶漆（室外）</w:t>
            </w:r>
          </w:p>
        </w:tc>
        <w:tc>
          <w:tcPr>
            <w:tcW w:w="7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m2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26.00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含材料（多乐士、立邦无味漆）二遍</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33</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铲除墙柱石灰砂浆层</w:t>
            </w: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34</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休闲椅</w:t>
            </w:r>
          </w:p>
        </w:tc>
        <w:tc>
          <w:tcPr>
            <w:tcW w:w="7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根</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油漆2遍</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（1.22mX5cmx3cm）</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35</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防腐木条</w:t>
            </w: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更换背铁板</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8.50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含材料</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36</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含螺丝、打眼</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37</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卫生间洗漱台板安装</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项</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拆装除原台板、脸盆</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38</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洗漱台板开孔</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23.00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39</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台板磨边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40</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平米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安装大理石台板</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230.00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更换洗漱台不锈钢支架</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平米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更换不锈支架</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160.00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人工费、主材</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42</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更换洗脸盆</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台上洗脸盆</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人工费（含拆除）</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43</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台下洗脸盆</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人工费（含拆除）</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44</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洗脸盆</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45</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更换大便器</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打、拆除原便池</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62.00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46</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安装便池</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145.00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人工费和恢复</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47</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L型冲水管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人工费、主材</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48</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便池</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49</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学生宿舍卫生间便池皮碗</w:t>
            </w:r>
          </w:p>
        </w:tc>
        <w:tc>
          <w:tcPr>
            <w:tcW w:w="7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打、拆除原皮碗</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含打地面、恢复</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恢复地面</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制作安装铝合金窗</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220.00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52</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清掏污水沟</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含翻起及恢复沟盖板</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53</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清掏污水井（大小价一样）</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座</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含翻起及恢复</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54</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清掏雨水井（大小价一样）</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座</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28.00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含翻起及恢复</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55</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维修点工</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天</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技术性工种</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260.00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工时8小时</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56</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维修点工</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天</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非技术性工种</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175.00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工时8小时</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57</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安装铸铁井盖（0.36平米以内）</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含打粉井两边（不含主材）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58</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安装水泥井盖（0.36平米以内）</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18.00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含打粉井两边（不含主材）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59</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安装复合井盖（0.36平米以内）</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16.00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含打粉井两边（不含主材）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安装铸铁井盖（0.64-0.36平米）</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140.00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含打粉井四边（不含主材）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安装水泥井盖（0.64-0.36平米）</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含打粉井四边（不含主材）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62</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安装复合井盖（0.64-0.36平米）</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含打粉井四边（不含主材）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63</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安装铸铁井盖（0.35-0.15平米）</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含打粉井四边（不含主材）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64</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安装水泥井盖（0.35-0.15平米）</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含打粉井四边（不含主材）</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65</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安装复合井盖（0.35-0.15平米）</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含打粉井四边（不含主材）</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66</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破除混凝土路面砼</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M3</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200.00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含风爆机破</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67</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切割混泥土地面</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18.00</w:t>
            </w:r>
          </w:p>
        </w:tc>
        <w:tc>
          <w:tcPr>
            <w:tcW w:w="3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68</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落水管安装</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不含材料、4米及以上</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20.00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69</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不含材料、4米以下</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15.00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雨水斗安装</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不含材料</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90.00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拆除人行道板（砂垫层）</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上人屋面</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3.00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72</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恢复人行道板（砂垫层）</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6.00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73</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拆除隔热板清基</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74</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恢复隔热板</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11.00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75</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高空更换灯泡</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45.00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76</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机械钻孔</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个</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60.00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77</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吊扇检修</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台</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5.00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78</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吊扇安装</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台</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40.00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79</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床防护栏</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制作、安装</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32.00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地弹门维修</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扇</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100.00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更换不锈钢伸缩晾衣架2米*4根</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套</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350.00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82</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租脚手架</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副</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含主材、运费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83</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学生宿舍卫生间吊顶维修</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间</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维修</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不含主材人工费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84</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根</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轻钢龙骨</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15.00</w:t>
            </w:r>
          </w:p>
        </w:tc>
        <w:tc>
          <w:tcPr>
            <w:tcW w:w="3230" w:type="dxa"/>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85</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片</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300*300*0.6铝扣板</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5.00</w:t>
            </w:r>
          </w:p>
        </w:tc>
        <w:tc>
          <w:tcPr>
            <w:tcW w:w="3230" w:type="dxa"/>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86</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窗户安全扣</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塑料材质</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87</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学生宿舍卫生间门玻璃更换</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片</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88</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更换玻璃门</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上下夹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含主材、人工费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89</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地弹簧</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含主材、人工费</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90</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Style w:val="50"/>
                <w:rFonts w:hint="eastAsia" w:ascii="仿宋" w:hAnsi="仿宋" w:eastAsia="仿宋"/>
                <w:lang w:bidi="ar"/>
              </w:rPr>
              <w:t>m</w:t>
            </w:r>
            <w:r>
              <w:rPr>
                <w:rStyle w:val="51"/>
                <w:rFonts w:hint="eastAsia"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换8MM钢化玻璃</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180.00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含主材（厚度增减2MM增减20元/平方）</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91</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更换110PVC管（联塑）</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110PVC管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主材（不含人工）</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92</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直接头</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主材（不含人工）</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93</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弯头</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主材（不含人工）</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94</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更换75、50PVC管（联塑）</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米</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75、50PVC管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主材（不含人工）</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95</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直接头</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4.00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主材（不含人工）</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96</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弯头</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8.00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主材（不含人工）</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97</w:t>
            </w:r>
          </w:p>
        </w:tc>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更换全新防盗门（指定品牌）</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扇</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盼盼（甲级、含锁、含运费）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1900.00</w:t>
            </w:r>
          </w:p>
        </w:tc>
        <w:tc>
          <w:tcPr>
            <w:tcW w:w="3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含拆装和主材</w:t>
            </w: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98</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扇</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步阳（甲级、含锁、含运费）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1800.00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99</w:t>
            </w:r>
          </w:p>
        </w:tc>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扇</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王力（甲级、含锁、含运费）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2000.00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更换钢化玻璃门</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扇</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玻璃工钱及运费</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190.00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hint="default" w:ascii="仿宋" w:hAnsi="仿宋" w:eastAsia="仿宋" w:cs="仿宋_GB2312"/>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垃圾清运</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1楼清运至校外</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55.00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包干</w:t>
            </w:r>
          </w:p>
        </w:tc>
      </w:tr>
      <w:tr>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102</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2楼垃圾下楼、清运至校外</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100.00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2楼以上有电梯的均按2楼计算</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103</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3楼垃圾下楼、清运至校外</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110.00</w:t>
            </w:r>
          </w:p>
        </w:tc>
        <w:tc>
          <w:tcPr>
            <w:tcW w:w="3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104</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4楼垃圾下楼、清运至校外</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125.00</w:t>
            </w:r>
          </w:p>
        </w:tc>
        <w:tc>
          <w:tcPr>
            <w:tcW w:w="3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105</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5楼垃圾下楼、清运至校外</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145.00</w:t>
            </w:r>
          </w:p>
        </w:tc>
        <w:tc>
          <w:tcPr>
            <w:tcW w:w="3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106</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6楼垃圾下楼、清运至校外</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170.00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6楼以上均按6楼计算</w:t>
            </w:r>
          </w:p>
        </w:tc>
      </w:tr>
      <w:tr>
        <w:tblPrEx>
          <w:tblCellMar>
            <w:top w:w="0" w:type="dxa"/>
            <w:left w:w="108" w:type="dxa"/>
            <w:bottom w:w="0" w:type="dxa"/>
            <w:right w:w="108" w:type="dxa"/>
          </w:tblCellMar>
        </w:tblPrEx>
        <w:trPr>
          <w:trHeight w:val="10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107</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材料上楼</w:t>
            </w:r>
            <w:r>
              <w:rPr>
                <w:rFonts w:ascii="仿宋" w:hAnsi="仿宋" w:eastAsia="仿宋" w:cs="宋体"/>
                <w:color w:val="000000"/>
                <w:sz w:val="28"/>
                <w:szCs w:val="28"/>
                <w:lang w:bidi="ar"/>
              </w:rPr>
              <w:br w:type="textWrapping"/>
            </w:r>
            <w:r>
              <w:rPr>
                <w:rFonts w:ascii="仿宋" w:hAnsi="仿宋" w:eastAsia="仿宋" w:cs="宋体"/>
                <w:color w:val="000000"/>
                <w:sz w:val="28"/>
                <w:szCs w:val="28"/>
                <w:lang w:bidi="ar"/>
              </w:rPr>
              <w:t>（仅限沙、水泥、砖、墙、地砖）</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材料上2楼</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45.00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有电梯的不予计算</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108</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材料上3楼</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55.00</w:t>
            </w:r>
          </w:p>
        </w:tc>
        <w:tc>
          <w:tcPr>
            <w:tcW w:w="3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109</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材料上4楼</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70.00</w:t>
            </w:r>
          </w:p>
        </w:tc>
        <w:tc>
          <w:tcPr>
            <w:tcW w:w="3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110</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材料上5楼</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90.00</w:t>
            </w:r>
          </w:p>
        </w:tc>
        <w:tc>
          <w:tcPr>
            <w:tcW w:w="3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111</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3</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材料上6楼</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115.00</w:t>
            </w:r>
          </w:p>
        </w:tc>
        <w:tc>
          <w:tcPr>
            <w:tcW w:w="3230" w:type="dxa"/>
            <w:tcBorders>
              <w:top w:val="single" w:color="000000" w:sz="4" w:space="0"/>
              <w:left w:val="nil"/>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6楼以上均按6楼计算</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112</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SBS卷材防水</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60m</w:t>
            </w:r>
            <w:r>
              <w:rPr>
                <w:rStyle w:val="53"/>
                <w:rFonts w:ascii="仿宋" w:hAnsi="仿宋" w:eastAsia="仿宋"/>
                <w:lang w:bidi="ar"/>
              </w:rPr>
              <w:t>2</w:t>
            </w:r>
            <w:r>
              <w:rPr>
                <w:rStyle w:val="52"/>
                <w:rFonts w:ascii="仿宋" w:hAnsi="仿宋" w:eastAsia="仿宋"/>
                <w:lang w:bidi="ar"/>
              </w:rPr>
              <w:t>以内（含）</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35.87</w:t>
            </w:r>
          </w:p>
        </w:tc>
        <w:tc>
          <w:tcPr>
            <w:tcW w:w="3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含拆装人工和主材</w:t>
            </w: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113</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60m</w:t>
            </w:r>
            <w:r>
              <w:rPr>
                <w:rStyle w:val="53"/>
                <w:rFonts w:ascii="仿宋" w:hAnsi="仿宋" w:eastAsia="仿宋"/>
                <w:lang w:bidi="ar"/>
              </w:rPr>
              <w:t>2</w:t>
            </w:r>
            <w:r>
              <w:rPr>
                <w:rStyle w:val="52"/>
                <w:rFonts w:ascii="仿宋" w:hAnsi="仿宋" w:eastAsia="仿宋"/>
                <w:lang w:bidi="ar"/>
              </w:rPr>
              <w:t>以上</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28.00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114</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单次20m</w:t>
            </w:r>
            <w:r>
              <w:rPr>
                <w:rStyle w:val="53"/>
                <w:rFonts w:ascii="仿宋" w:hAnsi="仿宋" w:eastAsia="仿宋"/>
                <w:lang w:bidi="ar"/>
              </w:rPr>
              <w:t>2</w:t>
            </w:r>
            <w:r>
              <w:rPr>
                <w:rStyle w:val="52"/>
                <w:rFonts w:ascii="仿宋" w:hAnsi="仿宋" w:eastAsia="仿宋"/>
                <w:lang w:bidi="ar"/>
              </w:rPr>
              <w:t>以内额外补大工2个</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35.87</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115</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强渗宝堵漏</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m</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215.00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116</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压力注浆</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m</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215.00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117</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卫生间翻修</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间</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学生寝室独立卫生间防水翻修</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3800.00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118</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防盗门更换</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樘</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使用旧防盗门</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400.00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119</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拆除防盗门</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樘</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保护性拆除</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160.00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不锈钢防盗窗</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140.00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防盗窗加密</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6.60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122</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不锈钢格栅门</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160.00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123</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铝合金窗制安</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180.00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124</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纱窗制安</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0.5m</w:t>
            </w:r>
            <w:r>
              <w:rPr>
                <w:rStyle w:val="53"/>
                <w:rFonts w:ascii="仿宋" w:hAnsi="仿宋" w:eastAsia="仿宋"/>
                <w:lang w:bidi="ar"/>
              </w:rPr>
              <w:t>2</w:t>
            </w:r>
            <w:r>
              <w:rPr>
                <w:rStyle w:val="52"/>
                <w:rFonts w:ascii="仿宋" w:hAnsi="仿宋" w:eastAsia="仿宋"/>
                <w:lang w:bidi="ar"/>
              </w:rPr>
              <w:t>以内（含）</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57.00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125</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0.5m</w:t>
            </w:r>
            <w:r>
              <w:rPr>
                <w:rStyle w:val="53"/>
                <w:rFonts w:ascii="仿宋" w:hAnsi="仿宋" w:eastAsia="仿宋"/>
                <w:lang w:bidi="ar"/>
              </w:rPr>
              <w:t>2</w:t>
            </w:r>
            <w:r>
              <w:rPr>
                <w:rStyle w:val="52"/>
                <w:rFonts w:ascii="仿宋" w:hAnsi="仿宋" w:eastAsia="仿宋"/>
                <w:lang w:bidi="ar"/>
              </w:rPr>
              <w:t>以上</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67.00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126</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BAC自粘防水</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38.00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127</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外墙防水涂料</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28.00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128</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防静电地板</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200.00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129</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栏杆油漆</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14.00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木门油漆</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32.00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131</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窗间墙修补</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修补、刮瓷，单次单个</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50.00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132</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窗间墙修补</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修补、刮瓷，单次多个</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35.00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133</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脚手架租赁</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天</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40.00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134</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沙发椅子</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会议室</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150.00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135</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折叠椅子</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个</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公共教室</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100.00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136</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不锈钢天窗盖</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个</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400.00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137</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浴帘、窗帘杆制安</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m</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100.00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138</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床爬梯制作</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只</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120.00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40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139</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引水及托水盘制安</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Style w:val="52"/>
                <w:rFonts w:ascii="仿宋" w:hAnsi="仿宋" w:eastAsia="仿宋"/>
                <w:lang w:bidi="ar"/>
              </w:rPr>
              <w:t>m</w:t>
            </w:r>
            <w:r>
              <w:rPr>
                <w:rStyle w:val="53"/>
                <w:rFonts w:ascii="仿宋" w:hAnsi="仿宋" w:eastAsia="仿宋"/>
                <w:lang w:bidi="ar"/>
              </w:rPr>
              <w:t>2</w:t>
            </w:r>
          </w:p>
        </w:tc>
        <w:tc>
          <w:tcPr>
            <w:tcW w:w="2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304不锈钢</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宋体"/>
                <w:color w:val="000000"/>
                <w:sz w:val="28"/>
                <w:szCs w:val="28"/>
              </w:rPr>
            </w:pPr>
            <w:r>
              <w:rPr>
                <w:rFonts w:ascii="仿宋" w:hAnsi="仿宋" w:eastAsia="仿宋" w:cs="宋体"/>
                <w:color w:val="000000"/>
                <w:sz w:val="28"/>
                <w:szCs w:val="28"/>
                <w:lang w:bidi="ar"/>
              </w:rPr>
              <w:t>150.00</w:t>
            </w:r>
          </w:p>
        </w:tc>
        <w:tc>
          <w:tcPr>
            <w:tcW w:w="3230" w:type="dxa"/>
            <w:vMerge w:val="continue"/>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sz w:val="28"/>
                <w:szCs w:val="28"/>
              </w:rPr>
            </w:pPr>
          </w:p>
        </w:tc>
      </w:tr>
      <w:tr>
        <w:tblPrEx>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_GB2312"/>
                <w:color w:val="000000"/>
                <w:sz w:val="28"/>
                <w:szCs w:val="28"/>
              </w:rPr>
            </w:pPr>
            <w:r>
              <w:rPr>
                <w:rFonts w:hint="default" w:ascii="仿宋" w:hAnsi="仿宋" w:eastAsia="仿宋" w:cs="仿宋_GB2312"/>
                <w:color w:val="000000"/>
                <w:sz w:val="28"/>
                <w:szCs w:val="28"/>
                <w:lang w:bidi="ar"/>
              </w:rPr>
              <w:t>140</w:t>
            </w:r>
          </w:p>
        </w:tc>
        <w:tc>
          <w:tcPr>
            <w:tcW w:w="1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移窗安全扣</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个</w:t>
            </w:r>
          </w:p>
        </w:tc>
        <w:tc>
          <w:tcPr>
            <w:tcW w:w="20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宋体"/>
                <w:color w:val="000000"/>
                <w:sz w:val="28"/>
                <w:szCs w:val="28"/>
              </w:rPr>
            </w:pPr>
            <w:r>
              <w:rPr>
                <w:rFonts w:ascii="仿宋" w:hAnsi="仿宋" w:eastAsia="仿宋" w:cs="宋体"/>
                <w:color w:val="000000"/>
                <w:sz w:val="28"/>
                <w:szCs w:val="28"/>
                <w:lang w:bidi="ar"/>
              </w:rPr>
              <w:t>1.5</w:t>
            </w:r>
          </w:p>
        </w:tc>
        <w:tc>
          <w:tcPr>
            <w:tcW w:w="323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8"/>
                <w:szCs w:val="28"/>
              </w:rPr>
            </w:pPr>
            <w:r>
              <w:rPr>
                <w:rFonts w:ascii="仿宋" w:hAnsi="仿宋" w:eastAsia="仿宋" w:cs="宋体"/>
                <w:color w:val="000000"/>
                <w:sz w:val="28"/>
                <w:szCs w:val="28"/>
                <w:lang w:bidi="ar"/>
              </w:rPr>
              <w:t>含拆装人工和主材</w:t>
            </w:r>
          </w:p>
        </w:tc>
      </w:tr>
    </w:tbl>
    <w:p>
      <w:pPr>
        <w:widowControl/>
        <w:textAlignment w:val="bottom"/>
        <w:rPr>
          <w:rFonts w:ascii="仿宋" w:hAnsi="仿宋" w:eastAsia="仿宋" w:cs="宋体"/>
          <w:color w:val="000000"/>
          <w:sz w:val="28"/>
          <w:szCs w:val="28"/>
          <w:lang w:bidi="ar"/>
        </w:rPr>
      </w:pPr>
      <w:r>
        <w:rPr>
          <w:rFonts w:ascii="仿宋" w:hAnsi="仿宋" w:eastAsia="仿宋" w:cs="宋体"/>
          <w:color w:val="000000"/>
          <w:sz w:val="28"/>
          <w:szCs w:val="28"/>
          <w:lang w:bidi="ar"/>
        </w:rPr>
        <w:t>注：</w:t>
      </w:r>
      <w:r>
        <w:rPr>
          <w:rFonts w:ascii="仿宋" w:hAnsi="仿宋" w:eastAsia="仿宋"/>
          <w:sz w:val="28"/>
          <w:szCs w:val="28"/>
        </w:rPr>
        <w:t>以上价格均含税金。</w:t>
      </w:r>
    </w:p>
    <w:sectPr>
      <w:pgSz w:w="11910" w:h="16840"/>
      <w:pgMar w:top="1520" w:right="800" w:bottom="1020" w:left="980" w:header="0" w:footer="83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insoku w:val="0"/>
      <w:overflowPunct w:val="0"/>
      <w:spacing w:line="14" w:lineRule="auto"/>
      <w:rPr>
        <w:sz w:val="20"/>
      </w:rPr>
    </w:pPr>
    <w:r>
      <w:rPr>
        <w:rFonts w:hint="default"/>
      </w:rPr>
      <mc:AlternateContent>
        <mc:Choice Requires="wps">
          <w:drawing>
            <wp:anchor distT="0" distB="0" distL="114300" distR="114300" simplePos="0" relativeHeight="251659264" behindDoc="1" locked="0" layoutInCell="1" allowOverlap="1">
              <wp:simplePos x="0" y="0"/>
              <wp:positionH relativeFrom="page">
                <wp:posOffset>3761105</wp:posOffset>
              </wp:positionH>
              <wp:positionV relativeFrom="page">
                <wp:posOffset>10022205</wp:posOffset>
              </wp:positionV>
              <wp:extent cx="167005" cy="139700"/>
              <wp:effectExtent l="0" t="1905" r="0" b="1270"/>
              <wp:wrapNone/>
              <wp:docPr id="111295965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pStyle w:val="9"/>
                            <w:kinsoku w:val="0"/>
                            <w:overflowPunct w:val="0"/>
                            <w:spacing w:line="203" w:lineRule="exact"/>
                            <w:ind w:left="40"/>
                            <w:rPr>
                              <w:rFonts w:hint="default" w:ascii="Calibri" w:hAnsi="Calibri" w:eastAsia="Calibri"/>
                              <w:sz w:val="18"/>
                            </w:rPr>
                          </w:pPr>
                          <w:r>
                            <w:rPr>
                              <w:rFonts w:hint="default" w:ascii="Calibri" w:hAnsi="Calibri" w:eastAsia="Calibri"/>
                              <w:sz w:val="18"/>
                            </w:rPr>
                            <w:fldChar w:fldCharType="begin"/>
                          </w:r>
                          <w:r>
                            <w:rPr>
                              <w:rFonts w:hint="default" w:ascii="Calibri" w:hAnsi="Calibri" w:eastAsia="Calibri"/>
                              <w:sz w:val="18"/>
                            </w:rPr>
                            <w:instrText xml:space="preserve"> PAGE </w:instrText>
                          </w:r>
                          <w:r>
                            <w:rPr>
                              <w:rFonts w:hint="default" w:ascii="Calibri" w:hAnsi="Calibri" w:eastAsia="Calibri"/>
                              <w:sz w:val="18"/>
                            </w:rPr>
                            <w:fldChar w:fldCharType="separate"/>
                          </w:r>
                          <w:r>
                            <w:rPr>
                              <w:rFonts w:hint="default" w:ascii="Calibri" w:hAnsi="Calibri" w:eastAsia="Calibri"/>
                              <w:sz w:val="18"/>
                            </w:rPr>
                            <w:t>1</w:t>
                          </w:r>
                          <w:r>
                            <w:rPr>
                              <w:rFonts w:hint="default" w:ascii="Calibri" w:hAnsi="Calibri" w:eastAsia="Calibri"/>
                              <w:sz w:val="18"/>
                            </w:rP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296.15pt;margin-top:789.15pt;height:11pt;width:13.15pt;mso-position-horizontal-relative:page;mso-position-vertical-relative:page;z-index:-251657216;mso-width-relative:page;mso-height-relative:page;" filled="f" stroked="f" coordsize="21600,21600" o:gfxdata="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9ePZ2wAAAA0BAAAPAAAA&#10;AAAAAAEAIAAAACIAAABkcnMvZG93bnJldi54bWxQSwECFAAUAAAACACHTuJANfiDERICAAANBAAA&#10;DgAAAAAAAAABACAAAAAqAQAAZHJzL2Uyb0RvYy54bWxQSwUGAAAAAAYABgBZAQAArgUAAAAA&#10;">
              <v:fill on="f" focussize="0,0"/>
              <v:stroke on="f"/>
              <v:imagedata o:title=""/>
              <o:lock v:ext="edit" aspectratio="f"/>
              <v:textbox inset="0mm,0mm,0mm,0mm">
                <w:txbxContent>
                  <w:p>
                    <w:pPr>
                      <w:pStyle w:val="9"/>
                      <w:kinsoku w:val="0"/>
                      <w:overflowPunct w:val="0"/>
                      <w:spacing w:line="203" w:lineRule="exact"/>
                      <w:ind w:left="40"/>
                      <w:rPr>
                        <w:rFonts w:hint="default" w:ascii="Calibri" w:hAnsi="Calibri" w:eastAsia="Calibri"/>
                        <w:sz w:val="18"/>
                      </w:rPr>
                    </w:pPr>
                    <w:r>
                      <w:rPr>
                        <w:rFonts w:hint="default" w:ascii="Calibri" w:hAnsi="Calibri" w:eastAsia="Calibri"/>
                        <w:sz w:val="18"/>
                      </w:rPr>
                      <w:fldChar w:fldCharType="begin"/>
                    </w:r>
                    <w:r>
                      <w:rPr>
                        <w:rFonts w:hint="default" w:ascii="Calibri" w:hAnsi="Calibri" w:eastAsia="Calibri"/>
                        <w:sz w:val="18"/>
                      </w:rPr>
                      <w:instrText xml:space="preserve"> PAGE </w:instrText>
                    </w:r>
                    <w:r>
                      <w:rPr>
                        <w:rFonts w:hint="default" w:ascii="Calibri" w:hAnsi="Calibri" w:eastAsia="Calibri"/>
                        <w:sz w:val="18"/>
                      </w:rPr>
                      <w:fldChar w:fldCharType="separate"/>
                    </w:r>
                    <w:r>
                      <w:rPr>
                        <w:rFonts w:hint="default" w:ascii="Calibri" w:hAnsi="Calibri" w:eastAsia="Calibri"/>
                        <w:sz w:val="18"/>
                      </w:rPr>
                      <w:t>1</w:t>
                    </w:r>
                    <w:r>
                      <w:rPr>
                        <w:rFonts w:hint="default" w:ascii="Calibri" w:hAnsi="Calibri" w:eastAsia="Calibri"/>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hMGQyYzNiZThiYTFmNTk0YjI5NDQ4MTQ2MTBiYzEifQ=="/>
    <w:docVar w:name="KSO_WPS_MARK_KEY" w:val="7bffd789-9416-472b-bda8-c0f67098c62b"/>
  </w:docVars>
  <w:rsids>
    <w:rsidRoot w:val="00172A27"/>
    <w:rsid w:val="0006252B"/>
    <w:rsid w:val="00151CA3"/>
    <w:rsid w:val="0038546F"/>
    <w:rsid w:val="003C74DE"/>
    <w:rsid w:val="0050569E"/>
    <w:rsid w:val="0050571A"/>
    <w:rsid w:val="00513F90"/>
    <w:rsid w:val="00642305"/>
    <w:rsid w:val="00652867"/>
    <w:rsid w:val="007C3120"/>
    <w:rsid w:val="008415B1"/>
    <w:rsid w:val="00A50700"/>
    <w:rsid w:val="00E31290"/>
    <w:rsid w:val="00E76954"/>
    <w:rsid w:val="00FA7CD1"/>
    <w:rsid w:val="013755E7"/>
    <w:rsid w:val="025C49EE"/>
    <w:rsid w:val="04EB69BF"/>
    <w:rsid w:val="05AE5DF2"/>
    <w:rsid w:val="076E5F5F"/>
    <w:rsid w:val="092563AF"/>
    <w:rsid w:val="0A112523"/>
    <w:rsid w:val="0A9E67CE"/>
    <w:rsid w:val="0B81520A"/>
    <w:rsid w:val="0C9C019B"/>
    <w:rsid w:val="0C9D0AF5"/>
    <w:rsid w:val="0F3F2A99"/>
    <w:rsid w:val="10D87E40"/>
    <w:rsid w:val="12765AD4"/>
    <w:rsid w:val="13BF31B2"/>
    <w:rsid w:val="13F5499C"/>
    <w:rsid w:val="14D77DF8"/>
    <w:rsid w:val="15184574"/>
    <w:rsid w:val="157530EA"/>
    <w:rsid w:val="1629525B"/>
    <w:rsid w:val="16816E45"/>
    <w:rsid w:val="16FC47B5"/>
    <w:rsid w:val="17596260"/>
    <w:rsid w:val="176656FC"/>
    <w:rsid w:val="182B45BD"/>
    <w:rsid w:val="192561AE"/>
    <w:rsid w:val="195E7BF3"/>
    <w:rsid w:val="197D4C4B"/>
    <w:rsid w:val="19810F0A"/>
    <w:rsid w:val="1B667847"/>
    <w:rsid w:val="1BE403B5"/>
    <w:rsid w:val="1C913220"/>
    <w:rsid w:val="1E3C7A71"/>
    <w:rsid w:val="1E4A7F3A"/>
    <w:rsid w:val="1E584D41"/>
    <w:rsid w:val="1E606A90"/>
    <w:rsid w:val="20B35CA4"/>
    <w:rsid w:val="225C1136"/>
    <w:rsid w:val="23CB46C7"/>
    <w:rsid w:val="23D97E66"/>
    <w:rsid w:val="243E0123"/>
    <w:rsid w:val="27D8143F"/>
    <w:rsid w:val="2812143D"/>
    <w:rsid w:val="287D2490"/>
    <w:rsid w:val="2904319F"/>
    <w:rsid w:val="2BAD0E38"/>
    <w:rsid w:val="2CA1130A"/>
    <w:rsid w:val="2E684971"/>
    <w:rsid w:val="2F36689A"/>
    <w:rsid w:val="300B7132"/>
    <w:rsid w:val="304B25BB"/>
    <w:rsid w:val="31A97D0B"/>
    <w:rsid w:val="32C35F19"/>
    <w:rsid w:val="33020FBF"/>
    <w:rsid w:val="343733BB"/>
    <w:rsid w:val="386D5665"/>
    <w:rsid w:val="398B5A24"/>
    <w:rsid w:val="39F85501"/>
    <w:rsid w:val="3EC318DD"/>
    <w:rsid w:val="3EF35BF4"/>
    <w:rsid w:val="3F89691E"/>
    <w:rsid w:val="41CC2DBB"/>
    <w:rsid w:val="42BA5938"/>
    <w:rsid w:val="43390CCB"/>
    <w:rsid w:val="43E42813"/>
    <w:rsid w:val="4515143C"/>
    <w:rsid w:val="45784F39"/>
    <w:rsid w:val="461E1201"/>
    <w:rsid w:val="48605E09"/>
    <w:rsid w:val="4B612B4B"/>
    <w:rsid w:val="4D881B8F"/>
    <w:rsid w:val="51631D75"/>
    <w:rsid w:val="518D4F38"/>
    <w:rsid w:val="51D94CF4"/>
    <w:rsid w:val="536C6FCF"/>
    <w:rsid w:val="537741CF"/>
    <w:rsid w:val="57147507"/>
    <w:rsid w:val="59BB15FA"/>
    <w:rsid w:val="5B151028"/>
    <w:rsid w:val="5BC71B2B"/>
    <w:rsid w:val="5C917ED6"/>
    <w:rsid w:val="5EB94887"/>
    <w:rsid w:val="5F795AB0"/>
    <w:rsid w:val="60B43027"/>
    <w:rsid w:val="60C137A1"/>
    <w:rsid w:val="611457A0"/>
    <w:rsid w:val="61A93A1C"/>
    <w:rsid w:val="62AC4146"/>
    <w:rsid w:val="643A28F4"/>
    <w:rsid w:val="65D47561"/>
    <w:rsid w:val="668964A3"/>
    <w:rsid w:val="678E091C"/>
    <w:rsid w:val="685163B5"/>
    <w:rsid w:val="698A2FFE"/>
    <w:rsid w:val="6A4C0071"/>
    <w:rsid w:val="6D7A175E"/>
    <w:rsid w:val="6ED37D5E"/>
    <w:rsid w:val="70012822"/>
    <w:rsid w:val="703E4298"/>
    <w:rsid w:val="70AE14A0"/>
    <w:rsid w:val="71725E77"/>
    <w:rsid w:val="72343EE1"/>
    <w:rsid w:val="730E174A"/>
    <w:rsid w:val="73AD24BD"/>
    <w:rsid w:val="73C345CA"/>
    <w:rsid w:val="748C0004"/>
    <w:rsid w:val="74BF617E"/>
    <w:rsid w:val="769C7206"/>
    <w:rsid w:val="77780A2C"/>
    <w:rsid w:val="79780972"/>
    <w:rsid w:val="7AAE7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hint="eastAsia" w:ascii="宋体" w:hAnsi="宋体" w:eastAsia="宋体" w:cs="Times New Roman"/>
      <w:sz w:val="22"/>
      <w:szCs w:val="24"/>
      <w:lang w:val="en-US" w:eastAsia="zh-CN" w:bidi="ar-SA"/>
    </w:rPr>
  </w:style>
  <w:style w:type="paragraph" w:styleId="2">
    <w:name w:val="heading 1"/>
    <w:basedOn w:val="1"/>
    <w:next w:val="1"/>
    <w:qFormat/>
    <w:uiPriority w:val="1"/>
    <w:pPr>
      <w:ind w:left="2426"/>
      <w:outlineLvl w:val="0"/>
    </w:pPr>
    <w:rPr>
      <w:rFonts w:ascii="微软雅黑" w:hAnsi="微软雅黑" w:eastAsia="微软雅黑"/>
      <w:b/>
      <w:sz w:val="84"/>
    </w:rPr>
  </w:style>
  <w:style w:type="paragraph" w:styleId="3">
    <w:name w:val="heading 2"/>
    <w:basedOn w:val="1"/>
    <w:next w:val="1"/>
    <w:qFormat/>
    <w:uiPriority w:val="1"/>
    <w:pPr>
      <w:spacing w:before="29"/>
      <w:ind w:left="323"/>
      <w:outlineLvl w:val="1"/>
    </w:pPr>
    <w:rPr>
      <w:rFonts w:ascii="黑体" w:hAnsi="黑体" w:eastAsia="黑体"/>
      <w:b/>
      <w:sz w:val="36"/>
    </w:rPr>
  </w:style>
  <w:style w:type="paragraph" w:styleId="4">
    <w:name w:val="heading 3"/>
    <w:basedOn w:val="1"/>
    <w:next w:val="1"/>
    <w:qFormat/>
    <w:uiPriority w:val="1"/>
    <w:pPr>
      <w:spacing w:before="24"/>
      <w:ind w:left="2889"/>
      <w:outlineLvl w:val="2"/>
    </w:pPr>
    <w:rPr>
      <w:rFonts w:ascii="黑体" w:hAnsi="黑体" w:eastAsia="黑体"/>
      <w:sz w:val="36"/>
    </w:rPr>
  </w:style>
  <w:style w:type="paragraph" w:styleId="5">
    <w:name w:val="heading 4"/>
    <w:basedOn w:val="1"/>
    <w:next w:val="1"/>
    <w:qFormat/>
    <w:uiPriority w:val="1"/>
    <w:pPr>
      <w:ind w:left="88"/>
      <w:outlineLvl w:val="3"/>
    </w:pPr>
    <w:rPr>
      <w:b/>
      <w:sz w:val="32"/>
    </w:rPr>
  </w:style>
  <w:style w:type="paragraph" w:styleId="6">
    <w:name w:val="heading 5"/>
    <w:basedOn w:val="1"/>
    <w:next w:val="1"/>
    <w:qFormat/>
    <w:uiPriority w:val="1"/>
    <w:pPr>
      <w:spacing w:before="111"/>
      <w:ind w:left="1223"/>
      <w:outlineLvl w:val="4"/>
    </w:pPr>
    <w:rPr>
      <w:sz w:val="32"/>
    </w:rPr>
  </w:style>
  <w:style w:type="paragraph" w:styleId="7">
    <w:name w:val="heading 6"/>
    <w:basedOn w:val="1"/>
    <w:next w:val="1"/>
    <w:qFormat/>
    <w:uiPriority w:val="1"/>
    <w:pPr>
      <w:ind w:left="796"/>
      <w:outlineLvl w:val="5"/>
    </w:pPr>
    <w:rPr>
      <w:b/>
      <w:sz w:val="24"/>
    </w:rPr>
  </w:style>
  <w:style w:type="character" w:default="1" w:styleId="16">
    <w:name w:val="Default Paragraph Font"/>
    <w:unhideWhenUsed/>
    <w:qFormat/>
    <w:uiPriority w:val="99"/>
    <w:rPr>
      <w:rFonts w:hint="default"/>
      <w:sz w:val="24"/>
      <w:szCs w:val="24"/>
    </w:rPr>
  </w:style>
  <w:style w:type="table" w:default="1" w:styleId="14">
    <w:name w:val="Normal Table"/>
    <w:qFormat/>
    <w:uiPriority w:val="99"/>
    <w:tblPr>
      <w:tblCellMar>
        <w:top w:w="0" w:type="dxa"/>
        <w:left w:w="108" w:type="dxa"/>
        <w:bottom w:w="0" w:type="dxa"/>
        <w:right w:w="108" w:type="dxa"/>
      </w:tblCellMar>
    </w:tblPr>
  </w:style>
  <w:style w:type="paragraph" w:styleId="8">
    <w:name w:val="annotation text"/>
    <w:basedOn w:val="1"/>
    <w:qFormat/>
    <w:uiPriority w:val="99"/>
  </w:style>
  <w:style w:type="paragraph" w:styleId="9">
    <w:name w:val="Body Text"/>
    <w:basedOn w:val="1"/>
    <w:next w:val="10"/>
    <w:unhideWhenUsed/>
    <w:qFormat/>
    <w:uiPriority w:val="1"/>
    <w:rPr>
      <w:sz w:val="24"/>
    </w:rPr>
  </w:style>
  <w:style w:type="paragraph" w:styleId="10">
    <w:name w:val="Body Text First Indent"/>
    <w:basedOn w:val="9"/>
    <w:qFormat/>
    <w:uiPriority w:val="0"/>
    <w:pPr>
      <w:spacing w:after="120"/>
      <w:ind w:firstLine="420" w:firstLineChars="100"/>
    </w:pPr>
    <w:rPr>
      <w:rFonts w:hAnsi="Arial"/>
      <w:sz w:val="28"/>
    </w:rPr>
  </w:style>
  <w:style w:type="paragraph" w:styleId="11">
    <w:name w:val="Plain Text"/>
    <w:basedOn w:val="1"/>
    <w:unhideWhenUsed/>
    <w:qFormat/>
    <w:uiPriority w:val="0"/>
    <w:rPr>
      <w:rFonts w:hAnsi="Courier New"/>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Calibri" w:hAnsi="Calibri"/>
      <w:sz w:val="18"/>
      <w:szCs w:val="18"/>
    </w:rPr>
  </w:style>
  <w:style w:type="paragraph" w:styleId="13">
    <w:name w:val="Normal (Web)"/>
    <w:basedOn w:val="1"/>
    <w:qFormat/>
    <w:uiPriority w:val="99"/>
    <w:pPr>
      <w:spacing w:before="100" w:beforeAutospacing="1" w:after="100" w:afterAutospacing="1"/>
    </w:pPr>
    <w:rPr>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rFonts w:hint="default"/>
      <w:b/>
      <w:sz w:val="24"/>
      <w:szCs w:val="24"/>
    </w:rPr>
  </w:style>
  <w:style w:type="character" w:styleId="18">
    <w:name w:val="FollowedHyperlink"/>
    <w:basedOn w:val="16"/>
    <w:qFormat/>
    <w:uiPriority w:val="99"/>
    <w:rPr>
      <w:rFonts w:hint="eastAsia" w:ascii="微软雅黑" w:hAnsi="微软雅黑" w:eastAsia="微软雅黑" w:cs="微软雅黑"/>
      <w:color w:val="02396F"/>
      <w:sz w:val="24"/>
      <w:szCs w:val="24"/>
      <w:u w:val="single"/>
    </w:rPr>
  </w:style>
  <w:style w:type="character" w:styleId="19">
    <w:name w:val="HTML Definition"/>
    <w:basedOn w:val="16"/>
    <w:qFormat/>
    <w:uiPriority w:val="99"/>
    <w:rPr>
      <w:rFonts w:hint="default"/>
      <w:sz w:val="24"/>
      <w:szCs w:val="24"/>
    </w:rPr>
  </w:style>
  <w:style w:type="character" w:styleId="20">
    <w:name w:val="HTML Variable"/>
    <w:basedOn w:val="16"/>
    <w:qFormat/>
    <w:uiPriority w:val="99"/>
    <w:rPr>
      <w:rFonts w:hint="default"/>
      <w:sz w:val="24"/>
      <w:szCs w:val="24"/>
    </w:rPr>
  </w:style>
  <w:style w:type="character" w:styleId="21">
    <w:name w:val="Hyperlink"/>
    <w:basedOn w:val="16"/>
    <w:qFormat/>
    <w:uiPriority w:val="99"/>
    <w:rPr>
      <w:rFonts w:hint="eastAsia" w:ascii="微软雅黑" w:hAnsi="微软雅黑" w:eastAsia="微软雅黑" w:cs="微软雅黑"/>
      <w:color w:val="02396F"/>
      <w:sz w:val="24"/>
      <w:szCs w:val="24"/>
      <w:u w:val="single"/>
    </w:rPr>
  </w:style>
  <w:style w:type="character" w:styleId="22">
    <w:name w:val="HTML Code"/>
    <w:basedOn w:val="16"/>
    <w:qFormat/>
    <w:uiPriority w:val="99"/>
    <w:rPr>
      <w:rFonts w:hint="default" w:ascii="Courier New" w:hAnsi="Courier New"/>
      <w:sz w:val="20"/>
      <w:szCs w:val="24"/>
    </w:rPr>
  </w:style>
  <w:style w:type="character" w:styleId="23">
    <w:name w:val="HTML Cite"/>
    <w:basedOn w:val="16"/>
    <w:qFormat/>
    <w:uiPriority w:val="99"/>
    <w:rPr>
      <w:rFonts w:hint="default"/>
      <w:sz w:val="24"/>
      <w:szCs w:val="24"/>
    </w:rPr>
  </w:style>
  <w:style w:type="paragraph" w:styleId="24">
    <w:name w:val="List Paragraph"/>
    <w:basedOn w:val="1"/>
    <w:qFormat/>
    <w:uiPriority w:val="1"/>
    <w:pPr>
      <w:ind w:left="323" w:firstLine="471"/>
    </w:pPr>
    <w:rPr>
      <w:sz w:val="24"/>
    </w:rPr>
  </w:style>
  <w:style w:type="paragraph" w:customStyle="1" w:styleId="25">
    <w:name w:val="Default"/>
    <w:unhideWhenUsed/>
    <w:qFormat/>
    <w:uiPriority w:val="0"/>
    <w:pPr>
      <w:widowControl w:val="0"/>
      <w:autoSpaceDE w:val="0"/>
      <w:autoSpaceDN w:val="0"/>
      <w:adjustRightInd w:val="0"/>
    </w:pPr>
    <w:rPr>
      <w:rFonts w:hint="eastAsia" w:ascii="宋体" w:hAnsi="宋体" w:eastAsia="宋体" w:cs="宋体"/>
      <w:color w:val="000000"/>
      <w:sz w:val="24"/>
      <w:szCs w:val="24"/>
      <w:lang w:val="en-US" w:eastAsia="zh-CN" w:bidi="ar-SA"/>
    </w:rPr>
  </w:style>
  <w:style w:type="paragraph" w:customStyle="1" w:styleId="26">
    <w:name w:val="Table Paragraph"/>
    <w:basedOn w:val="1"/>
    <w:unhideWhenUsed/>
    <w:qFormat/>
    <w:uiPriority w:val="1"/>
    <w:rPr>
      <w:sz w:val="24"/>
    </w:rPr>
  </w:style>
  <w:style w:type="paragraph" w:customStyle="1" w:styleId="27">
    <w:name w:val="BodyText"/>
    <w:basedOn w:val="1"/>
    <w:unhideWhenUsed/>
    <w:qFormat/>
    <w:uiPriority w:val="0"/>
    <w:pPr>
      <w:jc w:val="both"/>
      <w:textAlignment w:val="baseline"/>
    </w:pPr>
    <w:rPr>
      <w:rFonts w:ascii="仿宋_GB2312" w:eastAsia="仿宋_GB2312"/>
      <w:kern w:val="2"/>
      <w:sz w:val="32"/>
    </w:rPr>
  </w:style>
  <w:style w:type="paragraph" w:customStyle="1" w:styleId="28">
    <w:name w:val="_Style 4"/>
    <w:basedOn w:val="1"/>
    <w:next w:val="24"/>
    <w:unhideWhenUsed/>
    <w:qFormat/>
    <w:uiPriority w:val="0"/>
    <w:pPr>
      <w:spacing w:after="120"/>
      <w:ind w:firstLine="420" w:firstLineChars="100"/>
    </w:pPr>
    <w:rPr>
      <w:rFonts w:ascii="Times New Roman" w:hAnsi="Times New Roman"/>
    </w:rPr>
  </w:style>
  <w:style w:type="paragraph" w:customStyle="1" w:styleId="29">
    <w:name w:val="Normal Indent1"/>
    <w:basedOn w:val="1"/>
    <w:unhideWhenUsed/>
    <w:qFormat/>
    <w:uiPriority w:val="0"/>
    <w:pPr>
      <w:ind w:firstLine="420" w:firstLineChars="200"/>
    </w:pPr>
  </w:style>
  <w:style w:type="character" w:customStyle="1" w:styleId="30">
    <w:name w:val="NormalCharacter"/>
    <w:unhideWhenUsed/>
    <w:qFormat/>
    <w:uiPriority w:val="0"/>
    <w:rPr>
      <w:rFonts w:hint="default"/>
      <w:kern w:val="2"/>
      <w:sz w:val="21"/>
      <w:szCs w:val="24"/>
      <w:lang w:val="en-US" w:eastAsia="zh-CN" w:bidi="ar-SA"/>
    </w:rPr>
  </w:style>
  <w:style w:type="character" w:customStyle="1" w:styleId="31">
    <w:name w:val="gjfg"/>
    <w:basedOn w:val="16"/>
    <w:qFormat/>
    <w:uiPriority w:val="0"/>
    <w:rPr>
      <w:rFonts w:hint="default"/>
      <w:sz w:val="24"/>
      <w:szCs w:val="24"/>
    </w:rPr>
  </w:style>
  <w:style w:type="character" w:customStyle="1" w:styleId="32">
    <w:name w:val="next"/>
    <w:basedOn w:val="16"/>
    <w:qFormat/>
    <w:uiPriority w:val="0"/>
    <w:rPr>
      <w:rFonts w:hint="default" w:ascii="微软雅黑" w:hAnsi="微软雅黑" w:eastAsia="微软雅黑" w:cs="微软雅黑"/>
      <w:sz w:val="21"/>
      <w:szCs w:val="21"/>
    </w:rPr>
  </w:style>
  <w:style w:type="character" w:customStyle="1" w:styleId="33">
    <w:name w:val="cfdate"/>
    <w:basedOn w:val="16"/>
    <w:qFormat/>
    <w:uiPriority w:val="0"/>
    <w:rPr>
      <w:rFonts w:hint="default"/>
      <w:color w:val="333333"/>
      <w:sz w:val="18"/>
      <w:szCs w:val="18"/>
    </w:rPr>
  </w:style>
  <w:style w:type="character" w:customStyle="1" w:styleId="34">
    <w:name w:val="redfilenumber"/>
    <w:basedOn w:val="16"/>
    <w:qFormat/>
    <w:uiPriority w:val="0"/>
    <w:rPr>
      <w:rFonts w:hint="default"/>
      <w:color w:val="BA2636"/>
      <w:sz w:val="18"/>
      <w:szCs w:val="18"/>
    </w:rPr>
  </w:style>
  <w:style w:type="character" w:customStyle="1" w:styleId="35">
    <w:name w:val="prev"/>
    <w:basedOn w:val="16"/>
    <w:qFormat/>
    <w:uiPriority w:val="0"/>
    <w:rPr>
      <w:rFonts w:hint="eastAsia" w:ascii="微软雅黑" w:hAnsi="微软雅黑" w:eastAsia="微软雅黑" w:cs="微软雅黑"/>
      <w:sz w:val="21"/>
      <w:szCs w:val="21"/>
    </w:rPr>
  </w:style>
  <w:style w:type="character" w:customStyle="1" w:styleId="36">
    <w:name w:val="prev1"/>
    <w:basedOn w:val="16"/>
    <w:qFormat/>
    <w:uiPriority w:val="0"/>
    <w:rPr>
      <w:rFonts w:hint="default"/>
      <w:color w:val="888888"/>
      <w:sz w:val="24"/>
      <w:szCs w:val="24"/>
    </w:rPr>
  </w:style>
  <w:style w:type="character" w:customStyle="1" w:styleId="37">
    <w:name w:val="qxdate"/>
    <w:basedOn w:val="16"/>
    <w:qFormat/>
    <w:uiPriority w:val="0"/>
    <w:rPr>
      <w:rFonts w:hint="default"/>
      <w:color w:val="333333"/>
      <w:sz w:val="18"/>
      <w:szCs w:val="18"/>
    </w:rPr>
  </w:style>
  <w:style w:type="character" w:customStyle="1" w:styleId="38">
    <w:name w:val="displayarti"/>
    <w:basedOn w:val="16"/>
    <w:qFormat/>
    <w:uiPriority w:val="0"/>
    <w:rPr>
      <w:rFonts w:hint="default"/>
      <w:color w:val="FFFFFF"/>
      <w:sz w:val="24"/>
      <w:szCs w:val="24"/>
      <w:shd w:val="clear" w:color="auto" w:fill="A00000"/>
    </w:rPr>
  </w:style>
  <w:style w:type="character" w:customStyle="1" w:styleId="39">
    <w:name w:val="redfilefwwh"/>
    <w:basedOn w:val="16"/>
    <w:qFormat/>
    <w:uiPriority w:val="0"/>
    <w:rPr>
      <w:rFonts w:hint="default"/>
      <w:color w:val="BA2636"/>
      <w:sz w:val="18"/>
      <w:szCs w:val="18"/>
    </w:rPr>
  </w:style>
  <w:style w:type="character" w:customStyle="1" w:styleId="40">
    <w:name w:val="next1"/>
    <w:basedOn w:val="16"/>
    <w:qFormat/>
    <w:uiPriority w:val="0"/>
    <w:rPr>
      <w:rFonts w:hint="default"/>
      <w:color w:val="888888"/>
      <w:sz w:val="24"/>
      <w:szCs w:val="24"/>
    </w:rPr>
  </w:style>
  <w:style w:type="character" w:customStyle="1" w:styleId="41">
    <w:name w:val="hover15"/>
    <w:basedOn w:val="16"/>
    <w:qFormat/>
    <w:uiPriority w:val="0"/>
    <w:rPr>
      <w:rFonts w:hint="default"/>
      <w:color w:val="025291"/>
      <w:sz w:val="24"/>
      <w:szCs w:val="24"/>
    </w:rPr>
  </w:style>
  <w:style w:type="character" w:customStyle="1" w:styleId="42">
    <w:name w:val="font"/>
    <w:basedOn w:val="16"/>
    <w:qFormat/>
    <w:uiPriority w:val="0"/>
    <w:rPr>
      <w:rFonts w:hint="default"/>
      <w:sz w:val="24"/>
      <w:szCs w:val="24"/>
    </w:rPr>
  </w:style>
  <w:style w:type="character" w:customStyle="1" w:styleId="43">
    <w:name w:val="font1"/>
    <w:basedOn w:val="16"/>
    <w:qFormat/>
    <w:uiPriority w:val="0"/>
    <w:rPr>
      <w:rFonts w:hint="default"/>
      <w:sz w:val="24"/>
      <w:szCs w:val="24"/>
    </w:rPr>
  </w:style>
  <w:style w:type="character" w:customStyle="1" w:styleId="44">
    <w:name w:val="noline"/>
    <w:basedOn w:val="16"/>
    <w:qFormat/>
    <w:uiPriority w:val="0"/>
    <w:rPr>
      <w:rFonts w:hint="default"/>
      <w:sz w:val="24"/>
      <w:szCs w:val="24"/>
    </w:rPr>
  </w:style>
  <w:style w:type="character" w:customStyle="1" w:styleId="45">
    <w:name w:val="laypage_curr"/>
    <w:basedOn w:val="16"/>
    <w:qFormat/>
    <w:uiPriority w:val="0"/>
    <w:rPr>
      <w:rFonts w:hint="default"/>
      <w:color w:val="FFFDF4"/>
      <w:sz w:val="24"/>
      <w:szCs w:val="24"/>
      <w:shd w:val="clear" w:color="auto" w:fill="0B67A6"/>
    </w:rPr>
  </w:style>
  <w:style w:type="character" w:customStyle="1" w:styleId="46">
    <w:name w:val="place"/>
    <w:basedOn w:val="16"/>
    <w:qFormat/>
    <w:uiPriority w:val="0"/>
    <w:rPr>
      <w:rFonts w:hint="eastAsia" w:ascii="微软雅黑" w:hAnsi="微软雅黑" w:eastAsia="微软雅黑" w:cs="微软雅黑"/>
      <w:color w:val="888888"/>
      <w:sz w:val="25"/>
      <w:szCs w:val="25"/>
    </w:rPr>
  </w:style>
  <w:style w:type="character" w:customStyle="1" w:styleId="47">
    <w:name w:val="place1"/>
    <w:basedOn w:val="16"/>
    <w:qFormat/>
    <w:uiPriority w:val="0"/>
    <w:rPr>
      <w:rFonts w:hint="default"/>
      <w:sz w:val="24"/>
      <w:szCs w:val="24"/>
    </w:rPr>
  </w:style>
  <w:style w:type="character" w:customStyle="1" w:styleId="48">
    <w:name w:val="place2"/>
    <w:basedOn w:val="16"/>
    <w:qFormat/>
    <w:uiPriority w:val="0"/>
    <w:rPr>
      <w:rFonts w:hint="default"/>
      <w:sz w:val="24"/>
      <w:szCs w:val="24"/>
    </w:rPr>
  </w:style>
  <w:style w:type="character" w:customStyle="1" w:styleId="49">
    <w:name w:val="place3"/>
    <w:basedOn w:val="16"/>
    <w:qFormat/>
    <w:uiPriority w:val="0"/>
    <w:rPr>
      <w:rFonts w:hint="default"/>
      <w:sz w:val="24"/>
      <w:szCs w:val="24"/>
    </w:rPr>
  </w:style>
  <w:style w:type="character" w:customStyle="1" w:styleId="50">
    <w:name w:val="font41"/>
    <w:basedOn w:val="16"/>
    <w:qFormat/>
    <w:uiPriority w:val="0"/>
    <w:rPr>
      <w:rFonts w:hint="default" w:ascii="仿宋_GB2312" w:eastAsia="仿宋_GB2312" w:cs="仿宋_GB2312"/>
      <w:color w:val="000000"/>
      <w:sz w:val="28"/>
      <w:szCs w:val="28"/>
      <w:u w:val="none"/>
    </w:rPr>
  </w:style>
  <w:style w:type="character" w:customStyle="1" w:styleId="51">
    <w:name w:val="font61"/>
    <w:basedOn w:val="16"/>
    <w:qFormat/>
    <w:uiPriority w:val="0"/>
    <w:rPr>
      <w:rFonts w:hint="default" w:ascii="仿宋_GB2312" w:eastAsia="仿宋_GB2312" w:cs="仿宋_GB2312"/>
      <w:color w:val="000000"/>
      <w:sz w:val="28"/>
      <w:szCs w:val="28"/>
      <w:u w:val="none"/>
      <w:vertAlign w:val="superscript"/>
    </w:rPr>
  </w:style>
  <w:style w:type="character" w:customStyle="1" w:styleId="52">
    <w:name w:val="font11"/>
    <w:basedOn w:val="16"/>
    <w:qFormat/>
    <w:uiPriority w:val="0"/>
    <w:rPr>
      <w:rFonts w:hint="eastAsia" w:ascii="宋体" w:hAnsi="宋体" w:eastAsia="宋体" w:cs="宋体"/>
      <w:color w:val="000000"/>
      <w:sz w:val="28"/>
      <w:szCs w:val="28"/>
      <w:u w:val="none"/>
    </w:rPr>
  </w:style>
  <w:style w:type="character" w:customStyle="1" w:styleId="53">
    <w:name w:val="font71"/>
    <w:basedOn w:val="16"/>
    <w:qFormat/>
    <w:uiPriority w:val="0"/>
    <w:rPr>
      <w:rFonts w:hint="eastAsia" w:ascii="宋体" w:hAnsi="宋体" w:eastAsia="宋体" w:cs="宋体"/>
      <w:color w:val="000000"/>
      <w:sz w:val="28"/>
      <w:szCs w:val="28"/>
      <w:u w:val="none"/>
      <w:vertAlign w:val="superscript"/>
    </w:rPr>
  </w:style>
  <w:style w:type="character" w:customStyle="1" w:styleId="54">
    <w:name w:val="font51"/>
    <w:basedOn w:val="16"/>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6471</Words>
  <Characters>7599</Characters>
  <Lines>61</Lines>
  <Paragraphs>17</Paragraphs>
  <TotalTime>2</TotalTime>
  <ScaleCrop>false</ScaleCrop>
  <LinksUpToDate>false</LinksUpToDate>
  <CharactersWithSpaces>7619</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2024-10-20T08:20:00Z</dcterms:created>
  <dc:creator>Administrator</dc:creator>
  <cp:lastModifiedBy>卡卡</cp:lastModifiedBy>
  <dcterms:modified xsi:type="dcterms:W3CDTF">2024-11-21T08:37:38Z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F98B493B70794271A0A808D0AE68DA41_13</vt:lpwstr>
  </property>
</Properties>
</file>